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BD5DB" w14:textId="77777777" w:rsidR="00B1198A" w:rsidRDefault="00B1198A" w:rsidP="00862ACF">
      <w:pPr>
        <w:jc w:val="center"/>
        <w:rPr>
          <w:rFonts w:ascii="Tahoma" w:hAnsi="Tahoma" w:cs="Tahoma"/>
          <w:b/>
          <w:bCs/>
          <w:color w:val="000000" w:themeColor="text1"/>
          <w:sz w:val="32"/>
          <w:szCs w:val="32"/>
          <w:lang w:val="en-US"/>
        </w:rPr>
      </w:pPr>
    </w:p>
    <w:p w14:paraId="50E6BD40" w14:textId="77777777" w:rsidR="00B1198A" w:rsidRDefault="00B1198A" w:rsidP="00862ACF">
      <w:pPr>
        <w:jc w:val="center"/>
        <w:rPr>
          <w:rFonts w:ascii="Tahoma" w:hAnsi="Tahoma" w:cs="Tahoma"/>
          <w:b/>
          <w:bCs/>
          <w:color w:val="000000" w:themeColor="text1"/>
          <w:sz w:val="32"/>
          <w:szCs w:val="32"/>
          <w:lang w:val="en-US"/>
        </w:rPr>
      </w:pPr>
    </w:p>
    <w:p w14:paraId="0AE9261A" w14:textId="3EF7136C" w:rsidR="00AB7768" w:rsidRDefault="00AB7768" w:rsidP="00862ACF">
      <w:pPr>
        <w:jc w:val="center"/>
        <w:rPr>
          <w:rFonts w:ascii="Tahoma" w:hAnsi="Tahoma" w:cs="Tahoma"/>
          <w:b/>
          <w:bCs/>
          <w:color w:val="000000" w:themeColor="text1"/>
          <w:sz w:val="32"/>
          <w:szCs w:val="32"/>
          <w:lang w:val="en-US"/>
        </w:rPr>
      </w:pPr>
      <w:r w:rsidRPr="00275018">
        <w:rPr>
          <w:rFonts w:ascii="Tahoma" w:hAnsi="Tahoma" w:cs="Tahoma"/>
          <w:b/>
          <w:bCs/>
          <w:color w:val="000000" w:themeColor="text1"/>
          <w:sz w:val="32"/>
          <w:szCs w:val="32"/>
          <w:lang w:val="en-US"/>
        </w:rPr>
        <w:t>Russian technological breakthrough in fertilizers production</w:t>
      </w:r>
    </w:p>
    <w:p w14:paraId="27B0E18A" w14:textId="77777777" w:rsidR="00B1198A" w:rsidRPr="00275018" w:rsidRDefault="00B1198A" w:rsidP="00862ACF">
      <w:pPr>
        <w:jc w:val="center"/>
        <w:rPr>
          <w:rFonts w:ascii="Tahoma" w:hAnsi="Tahoma" w:cs="Tahoma"/>
          <w:b/>
          <w:bCs/>
          <w:color w:val="000000" w:themeColor="text1"/>
          <w:sz w:val="32"/>
          <w:szCs w:val="32"/>
          <w:lang w:val="en-US"/>
        </w:rPr>
      </w:pPr>
    </w:p>
    <w:p w14:paraId="24AE73CF" w14:textId="454918D2" w:rsidR="002B6E18" w:rsidRPr="00275018" w:rsidRDefault="004E5837" w:rsidP="00166F8A">
      <w:pPr>
        <w:ind w:firstLine="708"/>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 xml:space="preserve">Providing ecologically </w:t>
      </w:r>
      <w:r w:rsidR="008114B7" w:rsidRPr="00275018">
        <w:rPr>
          <w:rFonts w:ascii="Tahoma" w:hAnsi="Tahoma" w:cs="Tahoma"/>
          <w:color w:val="000000" w:themeColor="text1"/>
          <w:sz w:val="24"/>
          <w:szCs w:val="24"/>
          <w:lang w:val="en-US"/>
        </w:rPr>
        <w:t>sustaina</w:t>
      </w:r>
      <w:r w:rsidRPr="00275018">
        <w:rPr>
          <w:rFonts w:ascii="Tahoma" w:hAnsi="Tahoma" w:cs="Tahoma"/>
          <w:color w:val="000000" w:themeColor="text1"/>
          <w:sz w:val="24"/>
          <w:szCs w:val="24"/>
          <w:lang w:val="en-US"/>
        </w:rPr>
        <w:t xml:space="preserve">ble development of Russia </w:t>
      </w:r>
      <w:r w:rsidR="00327823" w:rsidRPr="00275018">
        <w:rPr>
          <w:rFonts w:ascii="Tahoma" w:hAnsi="Tahoma" w:cs="Tahoma"/>
          <w:color w:val="000000" w:themeColor="text1"/>
          <w:sz w:val="24"/>
          <w:szCs w:val="24"/>
          <w:lang w:val="en-US"/>
        </w:rPr>
        <w:t>in whole</w:t>
      </w:r>
      <w:r w:rsidRPr="00275018">
        <w:rPr>
          <w:rFonts w:ascii="Tahoma" w:hAnsi="Tahoma" w:cs="Tahoma"/>
          <w:color w:val="000000" w:themeColor="text1"/>
          <w:sz w:val="24"/>
          <w:szCs w:val="24"/>
          <w:lang w:val="en-US"/>
        </w:rPr>
        <w:t xml:space="preserve"> as well as</w:t>
      </w:r>
      <w:r w:rsidR="00327823" w:rsidRPr="00275018">
        <w:rPr>
          <w:rFonts w:ascii="Tahoma" w:hAnsi="Tahoma" w:cs="Tahoma"/>
          <w:color w:val="000000" w:themeColor="text1"/>
          <w:sz w:val="24"/>
          <w:szCs w:val="24"/>
          <w:lang w:val="en-US"/>
        </w:rPr>
        <w:t xml:space="preserve"> development of</w:t>
      </w:r>
      <w:r w:rsidRPr="00275018">
        <w:rPr>
          <w:rFonts w:ascii="Tahoma" w:hAnsi="Tahoma" w:cs="Tahoma"/>
          <w:color w:val="000000" w:themeColor="text1"/>
          <w:sz w:val="24"/>
          <w:szCs w:val="24"/>
          <w:lang w:val="en-US"/>
        </w:rPr>
        <w:t xml:space="preserve"> its economic sectors is a long</w:t>
      </w:r>
      <w:r w:rsidR="00327823" w:rsidRPr="00275018">
        <w:rPr>
          <w:rFonts w:ascii="Tahoma" w:hAnsi="Tahoma" w:cs="Tahoma"/>
          <w:color w:val="000000" w:themeColor="text1"/>
          <w:sz w:val="24"/>
          <w:szCs w:val="24"/>
          <w:lang w:val="en-US"/>
        </w:rPr>
        <w:t>-</w:t>
      </w:r>
      <w:r w:rsidRPr="00275018">
        <w:rPr>
          <w:rFonts w:ascii="Tahoma" w:hAnsi="Tahoma" w:cs="Tahoma"/>
          <w:color w:val="000000" w:themeColor="text1"/>
          <w:sz w:val="24"/>
          <w:szCs w:val="24"/>
          <w:lang w:val="en-US"/>
        </w:rPr>
        <w:t>term and high-priority task for the country’s development.</w:t>
      </w:r>
      <w:r w:rsidR="00327823" w:rsidRPr="00275018">
        <w:rPr>
          <w:rFonts w:ascii="Tahoma" w:hAnsi="Tahoma" w:cs="Tahoma"/>
          <w:color w:val="000000" w:themeColor="text1"/>
          <w:sz w:val="24"/>
          <w:szCs w:val="24"/>
          <w:lang w:val="en-US"/>
        </w:rPr>
        <w:t xml:space="preserve"> All this is of high importance for the </w:t>
      </w:r>
      <w:proofErr w:type="spellStart"/>
      <w:r w:rsidR="00327823" w:rsidRPr="00275018">
        <w:rPr>
          <w:rFonts w:ascii="Tahoma" w:hAnsi="Tahoma" w:cs="Tahoma"/>
          <w:color w:val="000000" w:themeColor="text1"/>
          <w:sz w:val="24"/>
          <w:szCs w:val="24"/>
          <w:lang w:val="en-US"/>
        </w:rPr>
        <w:t>agri</w:t>
      </w:r>
      <w:proofErr w:type="spellEnd"/>
      <w:r w:rsidR="00327823" w:rsidRPr="00275018">
        <w:rPr>
          <w:rFonts w:ascii="Tahoma" w:hAnsi="Tahoma" w:cs="Tahoma"/>
          <w:color w:val="000000" w:themeColor="text1"/>
          <w:sz w:val="24"/>
          <w:szCs w:val="24"/>
          <w:lang w:val="en-US"/>
        </w:rPr>
        <w:t>-</w:t>
      </w:r>
      <w:r w:rsidR="0074582B" w:rsidRPr="00275018">
        <w:rPr>
          <w:rFonts w:ascii="Tahoma" w:hAnsi="Tahoma" w:cs="Tahoma"/>
          <w:color w:val="000000" w:themeColor="text1"/>
          <w:sz w:val="24"/>
          <w:szCs w:val="24"/>
          <w:lang w:val="en-US"/>
        </w:rPr>
        <w:t>industrial</w:t>
      </w:r>
      <w:r w:rsidR="00327823" w:rsidRPr="00275018">
        <w:rPr>
          <w:rFonts w:ascii="Tahoma" w:hAnsi="Tahoma" w:cs="Tahoma"/>
          <w:color w:val="000000" w:themeColor="text1"/>
          <w:sz w:val="24"/>
          <w:szCs w:val="24"/>
          <w:lang w:val="en-US"/>
        </w:rPr>
        <w:t xml:space="preserve"> sector.</w:t>
      </w:r>
    </w:p>
    <w:p w14:paraId="539D8824" w14:textId="204A17EB" w:rsidR="002B6E18" w:rsidRPr="00275018" w:rsidRDefault="004E5837" w:rsidP="00166F8A">
      <w:pPr>
        <w:ind w:firstLine="708"/>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 xml:space="preserve">Intensification of agricultural industry in Russia and worldwide requires continual improvement of cultivation </w:t>
      </w:r>
      <w:r w:rsidR="008054D3" w:rsidRPr="00275018">
        <w:rPr>
          <w:rFonts w:ascii="Tahoma" w:hAnsi="Tahoma" w:cs="Tahoma"/>
          <w:color w:val="000000" w:themeColor="text1"/>
          <w:sz w:val="24"/>
          <w:szCs w:val="24"/>
          <w:lang w:val="en-US"/>
        </w:rPr>
        <w:t>technologies</w:t>
      </w:r>
      <w:r w:rsidRPr="00275018">
        <w:rPr>
          <w:rFonts w:ascii="Tahoma" w:hAnsi="Tahoma" w:cs="Tahoma"/>
          <w:color w:val="000000" w:themeColor="text1"/>
          <w:sz w:val="24"/>
          <w:szCs w:val="24"/>
          <w:lang w:val="en-US"/>
        </w:rPr>
        <w:t xml:space="preserve">. </w:t>
      </w:r>
      <w:r w:rsidR="00C2764A" w:rsidRPr="00275018">
        <w:rPr>
          <w:rFonts w:ascii="Tahoma" w:hAnsi="Tahoma" w:cs="Tahoma"/>
          <w:color w:val="000000" w:themeColor="text1"/>
          <w:sz w:val="24"/>
          <w:szCs w:val="24"/>
          <w:lang w:val="en-US"/>
        </w:rPr>
        <w:t>S</w:t>
      </w:r>
      <w:r w:rsidRPr="00275018">
        <w:rPr>
          <w:rFonts w:ascii="Tahoma" w:hAnsi="Tahoma" w:cs="Tahoma"/>
          <w:color w:val="000000" w:themeColor="text1"/>
          <w:sz w:val="24"/>
          <w:szCs w:val="24"/>
          <w:lang w:val="en-US"/>
        </w:rPr>
        <w:t>upe</w:t>
      </w:r>
      <w:r w:rsidR="009D60E9" w:rsidRPr="00275018">
        <w:rPr>
          <w:rFonts w:ascii="Tahoma" w:hAnsi="Tahoma" w:cs="Tahoma"/>
          <w:color w:val="000000" w:themeColor="text1"/>
          <w:sz w:val="24"/>
          <w:szCs w:val="24"/>
          <w:lang w:val="en-US"/>
        </w:rPr>
        <w:t xml:space="preserve">r intensive farming inevitably </w:t>
      </w:r>
      <w:r w:rsidRPr="00275018">
        <w:rPr>
          <w:rFonts w:ascii="Tahoma" w:hAnsi="Tahoma" w:cs="Tahoma"/>
          <w:color w:val="000000" w:themeColor="text1"/>
          <w:sz w:val="24"/>
          <w:szCs w:val="24"/>
          <w:lang w:val="en-US"/>
        </w:rPr>
        <w:t>le</w:t>
      </w:r>
      <w:r w:rsidR="009D60E9" w:rsidRPr="00275018">
        <w:rPr>
          <w:rFonts w:ascii="Tahoma" w:hAnsi="Tahoma" w:cs="Tahoma"/>
          <w:color w:val="000000" w:themeColor="text1"/>
          <w:sz w:val="24"/>
          <w:szCs w:val="24"/>
          <w:lang w:val="en-US"/>
        </w:rPr>
        <w:t>ads to soil load increase, which comes with mineral fertilizers, pesticides and agrochemicals application rates increase.</w:t>
      </w:r>
    </w:p>
    <w:p w14:paraId="5D7CB2E7" w14:textId="1228F137" w:rsidR="000F29BA" w:rsidRPr="00275018" w:rsidRDefault="00267AE8" w:rsidP="00166F8A">
      <w:pPr>
        <w:ind w:firstLine="708"/>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Often</w:t>
      </w:r>
      <w:r w:rsidR="00244677" w:rsidRPr="00275018">
        <w:rPr>
          <w:rFonts w:ascii="Tahoma" w:hAnsi="Tahoma" w:cs="Tahoma"/>
          <w:color w:val="000000" w:themeColor="text1"/>
          <w:sz w:val="24"/>
          <w:szCs w:val="24"/>
          <w:lang w:val="en-US"/>
        </w:rPr>
        <w:t xml:space="preserve"> overfertili</w:t>
      </w:r>
      <w:r w:rsidR="00B97031" w:rsidRPr="00275018">
        <w:rPr>
          <w:rFonts w:ascii="Tahoma" w:hAnsi="Tahoma" w:cs="Tahoma"/>
          <w:color w:val="000000" w:themeColor="text1"/>
          <w:sz w:val="24"/>
          <w:szCs w:val="24"/>
          <w:lang w:val="en-US"/>
        </w:rPr>
        <w:t>z</w:t>
      </w:r>
      <w:r w:rsidR="00244677" w:rsidRPr="00275018">
        <w:rPr>
          <w:rFonts w:ascii="Tahoma" w:hAnsi="Tahoma" w:cs="Tahoma"/>
          <w:color w:val="000000" w:themeColor="text1"/>
          <w:sz w:val="24"/>
          <w:szCs w:val="24"/>
          <w:lang w:val="en-US"/>
        </w:rPr>
        <w:t xml:space="preserve">ation is unable to secure </w:t>
      </w:r>
      <w:r w:rsidR="00C043B8" w:rsidRPr="00275018">
        <w:rPr>
          <w:rFonts w:ascii="Tahoma" w:hAnsi="Tahoma" w:cs="Tahoma"/>
          <w:color w:val="000000" w:themeColor="text1"/>
          <w:sz w:val="24"/>
          <w:szCs w:val="24"/>
          <w:lang w:val="en-US"/>
        </w:rPr>
        <w:t xml:space="preserve">effective </w:t>
      </w:r>
      <w:r w:rsidRPr="00275018">
        <w:rPr>
          <w:rFonts w:ascii="Tahoma" w:hAnsi="Tahoma" w:cs="Tahoma"/>
          <w:color w:val="000000" w:themeColor="text1"/>
          <w:sz w:val="24"/>
          <w:szCs w:val="24"/>
          <w:lang w:val="en-US"/>
        </w:rPr>
        <w:t xml:space="preserve">mineral </w:t>
      </w:r>
      <w:r w:rsidR="00C043B8" w:rsidRPr="00275018">
        <w:rPr>
          <w:rFonts w:ascii="Tahoma" w:hAnsi="Tahoma" w:cs="Tahoma"/>
          <w:color w:val="000000" w:themeColor="text1"/>
          <w:sz w:val="24"/>
          <w:szCs w:val="24"/>
          <w:lang w:val="en-US"/>
        </w:rPr>
        <w:t xml:space="preserve">uptake </w:t>
      </w:r>
      <w:r w:rsidR="00DC00AD">
        <w:rPr>
          <w:rFonts w:ascii="Tahoma" w:hAnsi="Tahoma" w:cs="Tahoma"/>
          <w:color w:val="000000" w:themeColor="text1"/>
          <w:sz w:val="24"/>
          <w:szCs w:val="24"/>
          <w:lang w:val="en-US"/>
        </w:rPr>
        <w:t>for plants</w:t>
      </w:r>
      <w:r w:rsidR="00C043B8" w:rsidRPr="00275018">
        <w:rPr>
          <w:rFonts w:ascii="Tahoma" w:hAnsi="Tahoma" w:cs="Tahoma"/>
          <w:color w:val="000000" w:themeColor="text1"/>
          <w:sz w:val="24"/>
          <w:szCs w:val="24"/>
          <w:lang w:val="en-US"/>
        </w:rPr>
        <w:t>. This lead</w:t>
      </w:r>
      <w:r w:rsidR="00E955E0" w:rsidRPr="00275018">
        <w:rPr>
          <w:rFonts w:ascii="Tahoma" w:hAnsi="Tahoma" w:cs="Tahoma"/>
          <w:color w:val="000000" w:themeColor="text1"/>
          <w:sz w:val="24"/>
          <w:szCs w:val="24"/>
          <w:lang w:val="en-US"/>
        </w:rPr>
        <w:t>s</w:t>
      </w:r>
      <w:r w:rsidR="00C043B8" w:rsidRPr="00275018">
        <w:rPr>
          <w:rFonts w:ascii="Tahoma" w:hAnsi="Tahoma" w:cs="Tahoma"/>
          <w:color w:val="000000" w:themeColor="text1"/>
          <w:sz w:val="24"/>
          <w:szCs w:val="24"/>
          <w:lang w:val="en-US"/>
        </w:rPr>
        <w:t xml:space="preserve"> to </w:t>
      </w:r>
      <w:proofErr w:type="spellStart"/>
      <w:r w:rsidR="00C043B8" w:rsidRPr="00275018">
        <w:rPr>
          <w:rFonts w:ascii="Tahoma" w:hAnsi="Tahoma" w:cs="Tahoma"/>
          <w:color w:val="000000" w:themeColor="text1"/>
          <w:sz w:val="24"/>
          <w:szCs w:val="24"/>
          <w:lang w:val="en-US"/>
        </w:rPr>
        <w:t>agrocoenosis</w:t>
      </w:r>
      <w:proofErr w:type="spellEnd"/>
      <w:r w:rsidR="00E955E0" w:rsidRPr="00275018">
        <w:rPr>
          <w:rFonts w:ascii="Tahoma" w:hAnsi="Tahoma" w:cs="Tahoma"/>
          <w:color w:val="000000" w:themeColor="text1"/>
          <w:sz w:val="24"/>
          <w:szCs w:val="24"/>
          <w:lang w:val="en-US"/>
        </w:rPr>
        <w:t xml:space="preserve"> pollution</w:t>
      </w:r>
      <w:r w:rsidR="00C043B8" w:rsidRPr="00275018">
        <w:rPr>
          <w:rFonts w:ascii="Tahoma" w:hAnsi="Tahoma" w:cs="Tahoma"/>
          <w:color w:val="000000" w:themeColor="text1"/>
          <w:sz w:val="24"/>
          <w:szCs w:val="24"/>
          <w:lang w:val="en-US"/>
        </w:rPr>
        <w:t xml:space="preserve">, accumulation of </w:t>
      </w:r>
      <w:r w:rsidR="00E955E0" w:rsidRPr="00275018">
        <w:rPr>
          <w:rFonts w:ascii="Tahoma" w:hAnsi="Tahoma" w:cs="Tahoma"/>
          <w:color w:val="000000" w:themeColor="text1"/>
          <w:sz w:val="24"/>
          <w:szCs w:val="24"/>
          <w:lang w:val="en-US"/>
        </w:rPr>
        <w:t>the</w:t>
      </w:r>
      <w:r w:rsidR="00C043B8" w:rsidRPr="00275018">
        <w:rPr>
          <w:rFonts w:ascii="Tahoma" w:hAnsi="Tahoma" w:cs="Tahoma"/>
          <w:color w:val="000000" w:themeColor="text1"/>
          <w:sz w:val="24"/>
          <w:szCs w:val="24"/>
          <w:lang w:val="en-US"/>
        </w:rPr>
        <w:t xml:space="preserve"> non-available phosphorus, nitrogen, potassium, nutrient elements, </w:t>
      </w:r>
      <w:r w:rsidR="00E97FC2" w:rsidRPr="00275018">
        <w:rPr>
          <w:rFonts w:ascii="Tahoma" w:hAnsi="Tahoma" w:cs="Tahoma"/>
          <w:color w:val="000000" w:themeColor="text1"/>
          <w:sz w:val="24"/>
          <w:szCs w:val="24"/>
          <w:lang w:val="en-US"/>
        </w:rPr>
        <w:t>as well as</w:t>
      </w:r>
      <w:r w:rsidR="00E955E0" w:rsidRPr="00275018">
        <w:rPr>
          <w:rFonts w:ascii="Tahoma" w:hAnsi="Tahoma" w:cs="Tahoma"/>
          <w:color w:val="000000" w:themeColor="text1"/>
          <w:sz w:val="24"/>
          <w:szCs w:val="24"/>
          <w:lang w:val="en-US"/>
        </w:rPr>
        <w:t xml:space="preserve"> to</w:t>
      </w:r>
      <w:r w:rsidR="00E97FC2" w:rsidRPr="00275018">
        <w:rPr>
          <w:rFonts w:ascii="Tahoma" w:hAnsi="Tahoma" w:cs="Tahoma"/>
          <w:color w:val="000000" w:themeColor="text1"/>
          <w:sz w:val="24"/>
          <w:szCs w:val="24"/>
          <w:lang w:val="en-US"/>
        </w:rPr>
        <w:t xml:space="preserve"> </w:t>
      </w:r>
      <w:r w:rsidR="00C043B8" w:rsidRPr="00275018">
        <w:rPr>
          <w:rFonts w:ascii="Tahoma" w:hAnsi="Tahoma" w:cs="Tahoma"/>
          <w:color w:val="000000" w:themeColor="text1"/>
          <w:sz w:val="24"/>
          <w:szCs w:val="24"/>
          <w:lang w:val="en-US"/>
        </w:rPr>
        <w:t xml:space="preserve">soil microflora disbalance caused </w:t>
      </w:r>
      <w:r w:rsidR="0090303E" w:rsidRPr="00275018">
        <w:rPr>
          <w:rFonts w:ascii="Tahoma" w:hAnsi="Tahoma" w:cs="Tahoma"/>
          <w:color w:val="000000" w:themeColor="text1"/>
          <w:sz w:val="24"/>
          <w:szCs w:val="24"/>
          <w:lang w:val="en-US"/>
        </w:rPr>
        <w:t xml:space="preserve">by emergence of new </w:t>
      </w:r>
      <w:proofErr w:type="spellStart"/>
      <w:r w:rsidR="0090303E" w:rsidRPr="00275018">
        <w:rPr>
          <w:rFonts w:ascii="Tahoma" w:hAnsi="Tahoma" w:cs="Tahoma"/>
          <w:color w:val="000000" w:themeColor="text1"/>
          <w:sz w:val="24"/>
          <w:szCs w:val="24"/>
          <w:lang w:val="en-US"/>
        </w:rPr>
        <w:t>phythopathogenic</w:t>
      </w:r>
      <w:proofErr w:type="spellEnd"/>
      <w:r w:rsidR="0090303E" w:rsidRPr="00275018">
        <w:rPr>
          <w:rFonts w:ascii="Tahoma" w:hAnsi="Tahoma" w:cs="Tahoma"/>
          <w:color w:val="000000" w:themeColor="text1"/>
          <w:sz w:val="24"/>
          <w:szCs w:val="24"/>
          <w:lang w:val="en-US"/>
        </w:rPr>
        <w:t xml:space="preserve"> </w:t>
      </w:r>
      <w:r w:rsidR="00E955E0" w:rsidRPr="00275018">
        <w:rPr>
          <w:rFonts w:ascii="Tahoma" w:hAnsi="Tahoma" w:cs="Tahoma"/>
          <w:color w:val="000000" w:themeColor="text1"/>
          <w:sz w:val="24"/>
          <w:szCs w:val="24"/>
          <w:lang w:val="en-US"/>
        </w:rPr>
        <w:t xml:space="preserve">bacterial </w:t>
      </w:r>
      <w:r w:rsidR="0090303E" w:rsidRPr="00275018">
        <w:rPr>
          <w:rFonts w:ascii="Tahoma" w:hAnsi="Tahoma" w:cs="Tahoma"/>
          <w:color w:val="000000" w:themeColor="text1"/>
          <w:sz w:val="24"/>
          <w:szCs w:val="24"/>
          <w:lang w:val="en-US"/>
        </w:rPr>
        <w:t>consortiums</w:t>
      </w:r>
      <w:r w:rsidR="00E955E0" w:rsidRPr="00275018">
        <w:rPr>
          <w:rFonts w:ascii="Tahoma" w:hAnsi="Tahoma" w:cs="Tahoma"/>
          <w:color w:val="000000" w:themeColor="text1"/>
          <w:sz w:val="24"/>
          <w:szCs w:val="24"/>
          <w:lang w:val="en-US"/>
        </w:rPr>
        <w:t xml:space="preserve"> </w:t>
      </w:r>
      <w:r w:rsidR="0090303E" w:rsidRPr="00275018">
        <w:rPr>
          <w:rFonts w:ascii="Tahoma" w:hAnsi="Tahoma" w:cs="Tahoma"/>
          <w:color w:val="000000" w:themeColor="text1"/>
          <w:sz w:val="24"/>
          <w:szCs w:val="24"/>
          <w:lang w:val="en-US"/>
        </w:rPr>
        <w:t>resistant to chemical pesticides.</w:t>
      </w:r>
      <w:r w:rsidR="00D77CB4" w:rsidRPr="00275018">
        <w:rPr>
          <w:rFonts w:ascii="Tahoma" w:hAnsi="Tahoma" w:cs="Tahoma"/>
          <w:color w:val="000000" w:themeColor="text1"/>
          <w:sz w:val="24"/>
          <w:szCs w:val="24"/>
          <w:lang w:val="en-US"/>
        </w:rPr>
        <w:t xml:space="preserve"> Cumulative </w:t>
      </w:r>
      <w:r w:rsidR="00DC55AB" w:rsidRPr="00275018">
        <w:rPr>
          <w:rFonts w:ascii="Tahoma" w:hAnsi="Tahoma" w:cs="Tahoma"/>
          <w:color w:val="000000" w:themeColor="text1"/>
          <w:sz w:val="24"/>
          <w:szCs w:val="24"/>
          <w:lang w:val="en-US"/>
        </w:rPr>
        <w:t xml:space="preserve">dressing changes soil features, </w:t>
      </w:r>
      <w:r w:rsidR="00D77CB4" w:rsidRPr="00275018">
        <w:rPr>
          <w:rFonts w:ascii="Tahoma" w:hAnsi="Tahoma" w:cs="Tahoma"/>
          <w:color w:val="000000" w:themeColor="text1"/>
          <w:sz w:val="24"/>
          <w:szCs w:val="24"/>
          <w:lang w:val="en-US"/>
        </w:rPr>
        <w:t>application of physiologically acidic fertilizers increases soil acidity leading to significant humus losses.</w:t>
      </w:r>
      <w:r w:rsidR="0050773F" w:rsidRPr="00275018">
        <w:rPr>
          <w:rFonts w:ascii="Tahoma" w:hAnsi="Tahoma" w:cs="Tahoma"/>
          <w:color w:val="000000" w:themeColor="text1"/>
          <w:sz w:val="24"/>
          <w:szCs w:val="24"/>
          <w:lang w:val="en-US"/>
        </w:rPr>
        <w:t xml:space="preserve"> Application of high rates of mineral fertilizers causes </w:t>
      </w:r>
      <w:r w:rsidR="004B4397" w:rsidRPr="00275018">
        <w:rPr>
          <w:rFonts w:ascii="Tahoma" w:hAnsi="Tahoma" w:cs="Tahoma"/>
          <w:color w:val="000000" w:themeColor="text1"/>
          <w:sz w:val="24"/>
          <w:szCs w:val="24"/>
          <w:lang w:val="en-US"/>
        </w:rPr>
        <w:t xml:space="preserve">contamination of </w:t>
      </w:r>
      <w:r w:rsidR="0050773F" w:rsidRPr="00275018">
        <w:rPr>
          <w:rFonts w:ascii="Tahoma" w:hAnsi="Tahoma" w:cs="Tahoma"/>
          <w:color w:val="000000" w:themeColor="text1"/>
          <w:sz w:val="24"/>
          <w:szCs w:val="24"/>
          <w:lang w:val="en-US"/>
        </w:rPr>
        <w:t>soil</w:t>
      </w:r>
      <w:r w:rsidR="00B31B3A" w:rsidRPr="00275018">
        <w:rPr>
          <w:rFonts w:ascii="Tahoma" w:hAnsi="Tahoma" w:cs="Tahoma"/>
          <w:color w:val="000000" w:themeColor="text1"/>
          <w:sz w:val="24"/>
          <w:szCs w:val="24"/>
          <w:lang w:val="en-US"/>
        </w:rPr>
        <w:t xml:space="preserve">, </w:t>
      </w:r>
      <w:r w:rsidR="004B4397" w:rsidRPr="00275018">
        <w:rPr>
          <w:rFonts w:ascii="Tahoma" w:hAnsi="Tahoma" w:cs="Tahoma"/>
          <w:color w:val="000000" w:themeColor="text1"/>
          <w:sz w:val="24"/>
          <w:szCs w:val="24"/>
          <w:lang w:val="en-US"/>
        </w:rPr>
        <w:t xml:space="preserve">agricultural products and </w:t>
      </w:r>
      <w:r w:rsidR="00B31B3A" w:rsidRPr="00275018">
        <w:rPr>
          <w:rFonts w:ascii="Tahoma" w:hAnsi="Tahoma" w:cs="Tahoma"/>
          <w:color w:val="000000" w:themeColor="text1"/>
          <w:sz w:val="24"/>
          <w:szCs w:val="24"/>
          <w:lang w:val="en-US"/>
        </w:rPr>
        <w:t>freshwaters</w:t>
      </w:r>
      <w:r w:rsidR="0050773F" w:rsidRPr="00275018">
        <w:rPr>
          <w:rFonts w:ascii="Tahoma" w:hAnsi="Tahoma" w:cs="Tahoma"/>
          <w:color w:val="000000" w:themeColor="text1"/>
          <w:sz w:val="24"/>
          <w:szCs w:val="24"/>
          <w:lang w:val="en-US"/>
        </w:rPr>
        <w:t xml:space="preserve"> </w:t>
      </w:r>
      <w:r w:rsidR="00B31B3A" w:rsidRPr="00275018">
        <w:rPr>
          <w:rFonts w:ascii="Tahoma" w:hAnsi="Tahoma" w:cs="Tahoma"/>
          <w:color w:val="000000" w:themeColor="text1"/>
          <w:sz w:val="24"/>
          <w:szCs w:val="24"/>
          <w:lang w:val="en-US"/>
        </w:rPr>
        <w:t xml:space="preserve">by nitrates </w:t>
      </w:r>
      <w:r w:rsidR="004B4397" w:rsidRPr="00275018">
        <w:rPr>
          <w:rFonts w:ascii="Tahoma" w:hAnsi="Tahoma" w:cs="Tahoma"/>
          <w:color w:val="000000" w:themeColor="text1"/>
          <w:sz w:val="24"/>
          <w:szCs w:val="24"/>
          <w:lang w:val="en-US"/>
        </w:rPr>
        <w:t xml:space="preserve">and leads to </w:t>
      </w:r>
      <w:r w:rsidR="00B31B3A" w:rsidRPr="00275018">
        <w:rPr>
          <w:rFonts w:ascii="Tahoma" w:hAnsi="Tahoma" w:cs="Tahoma"/>
          <w:color w:val="000000" w:themeColor="text1"/>
          <w:sz w:val="24"/>
          <w:szCs w:val="24"/>
          <w:lang w:val="en-US"/>
        </w:rPr>
        <w:t>atmosphere</w:t>
      </w:r>
      <w:r w:rsidR="004B4397" w:rsidRPr="00275018">
        <w:rPr>
          <w:rFonts w:ascii="Tahoma" w:hAnsi="Tahoma" w:cs="Tahoma"/>
          <w:color w:val="000000" w:themeColor="text1"/>
          <w:sz w:val="24"/>
          <w:szCs w:val="24"/>
          <w:lang w:val="en-US"/>
        </w:rPr>
        <w:t xml:space="preserve"> pollution by nitrogen oxides</w:t>
      </w:r>
      <w:r w:rsidR="00B31B3A" w:rsidRPr="00275018">
        <w:rPr>
          <w:rFonts w:ascii="Tahoma" w:hAnsi="Tahoma" w:cs="Tahoma"/>
          <w:color w:val="000000" w:themeColor="text1"/>
          <w:sz w:val="24"/>
          <w:szCs w:val="24"/>
          <w:lang w:val="en-US"/>
        </w:rPr>
        <w:t>,</w:t>
      </w:r>
      <w:r w:rsidR="004B4397" w:rsidRPr="00275018">
        <w:rPr>
          <w:rFonts w:ascii="Tahoma" w:hAnsi="Tahoma" w:cs="Tahoma"/>
          <w:color w:val="000000" w:themeColor="text1"/>
          <w:sz w:val="24"/>
          <w:szCs w:val="24"/>
          <w:lang w:val="en-US"/>
        </w:rPr>
        <w:t xml:space="preserve"> thus,</w:t>
      </w:r>
      <w:r w:rsidR="00B31B3A" w:rsidRPr="00275018">
        <w:rPr>
          <w:rFonts w:ascii="Tahoma" w:hAnsi="Tahoma" w:cs="Tahoma"/>
          <w:color w:val="000000" w:themeColor="text1"/>
          <w:sz w:val="24"/>
          <w:szCs w:val="24"/>
          <w:lang w:val="en-US"/>
        </w:rPr>
        <w:t xml:space="preserve"> leading </w:t>
      </w:r>
      <w:r w:rsidR="00212582" w:rsidRPr="00275018">
        <w:rPr>
          <w:rFonts w:ascii="Tahoma" w:hAnsi="Tahoma" w:cs="Tahoma"/>
          <w:color w:val="000000" w:themeColor="text1"/>
          <w:sz w:val="24"/>
          <w:szCs w:val="24"/>
          <w:lang w:val="en-US"/>
        </w:rPr>
        <w:t xml:space="preserve">to </w:t>
      </w:r>
      <w:r w:rsidR="00B31B3A" w:rsidRPr="00275018">
        <w:rPr>
          <w:rFonts w:ascii="Tahoma" w:hAnsi="Tahoma" w:cs="Tahoma"/>
          <w:color w:val="000000" w:themeColor="text1"/>
          <w:sz w:val="24"/>
          <w:szCs w:val="24"/>
          <w:lang w:val="en-US"/>
        </w:rPr>
        <w:t>eutrophication.</w:t>
      </w:r>
      <w:r w:rsidR="00D17E59" w:rsidRPr="00275018">
        <w:rPr>
          <w:rFonts w:ascii="Tahoma" w:hAnsi="Tahoma" w:cs="Tahoma"/>
          <w:color w:val="000000" w:themeColor="text1"/>
          <w:sz w:val="24"/>
          <w:szCs w:val="24"/>
          <w:lang w:val="en-US"/>
        </w:rPr>
        <w:t xml:space="preserve"> Continuous application of mineral fertilizers has a great impact on soil microbiota, shown in </w:t>
      </w:r>
      <w:r w:rsidR="000E681E" w:rsidRPr="00275018">
        <w:rPr>
          <w:rFonts w:ascii="Tahoma" w:hAnsi="Tahoma" w:cs="Tahoma"/>
          <w:color w:val="000000" w:themeColor="text1"/>
          <w:sz w:val="24"/>
          <w:szCs w:val="24"/>
          <w:lang w:val="en-US"/>
        </w:rPr>
        <w:t>genus-species relations ratio</w:t>
      </w:r>
      <w:r w:rsidR="00D17E59" w:rsidRPr="00275018">
        <w:rPr>
          <w:rFonts w:ascii="Tahoma" w:hAnsi="Tahoma" w:cs="Tahoma"/>
          <w:color w:val="000000" w:themeColor="text1"/>
          <w:sz w:val="24"/>
          <w:szCs w:val="24"/>
          <w:lang w:val="en-US"/>
        </w:rPr>
        <w:t xml:space="preserve"> changes</w:t>
      </w:r>
      <w:r w:rsidR="00F73705" w:rsidRPr="00275018">
        <w:rPr>
          <w:rFonts w:ascii="Tahoma" w:hAnsi="Tahoma" w:cs="Tahoma"/>
          <w:color w:val="000000" w:themeColor="text1"/>
          <w:sz w:val="24"/>
          <w:szCs w:val="24"/>
          <w:lang w:val="en-US"/>
        </w:rPr>
        <w:t xml:space="preserve">. Moreover, heavy phosphorus and nitrogen fertilizing </w:t>
      </w:r>
      <w:r w:rsidR="00016F8A" w:rsidRPr="00275018">
        <w:rPr>
          <w:rFonts w:ascii="Tahoma" w:hAnsi="Tahoma" w:cs="Tahoma"/>
          <w:color w:val="000000" w:themeColor="text1"/>
          <w:sz w:val="24"/>
          <w:szCs w:val="24"/>
          <w:lang w:val="en-US"/>
        </w:rPr>
        <w:t xml:space="preserve">causes </w:t>
      </w:r>
      <w:r w:rsidR="00F73705" w:rsidRPr="00275018">
        <w:rPr>
          <w:rFonts w:ascii="Tahoma" w:hAnsi="Tahoma" w:cs="Tahoma"/>
          <w:color w:val="000000" w:themeColor="text1"/>
          <w:sz w:val="24"/>
          <w:szCs w:val="24"/>
          <w:lang w:val="en-US"/>
        </w:rPr>
        <w:t>heavy metals and radionuclides accumulation.</w:t>
      </w:r>
    </w:p>
    <w:p w14:paraId="5BDAA771" w14:textId="73F5CA9E" w:rsidR="00980FE5" w:rsidRPr="00275018" w:rsidRDefault="00980FE5" w:rsidP="00275018">
      <w:pPr>
        <w:ind w:firstLine="360"/>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As a result, a combi</w:t>
      </w:r>
      <w:r w:rsidR="00C6307C" w:rsidRPr="00275018">
        <w:rPr>
          <w:rFonts w:ascii="Tahoma" w:hAnsi="Tahoma" w:cs="Tahoma"/>
          <w:color w:val="000000" w:themeColor="text1"/>
          <w:sz w:val="24"/>
          <w:szCs w:val="24"/>
          <w:lang w:val="en-US"/>
        </w:rPr>
        <w:t>nation of the following factors:</w:t>
      </w:r>
    </w:p>
    <w:p w14:paraId="07EBA9E3" w14:textId="0A11275F" w:rsidR="00980FE5" w:rsidRPr="00275018" w:rsidRDefault="00980FE5" w:rsidP="00980FE5">
      <w:pPr>
        <w:pStyle w:val="a3"/>
        <w:numPr>
          <w:ilvl w:val="0"/>
          <w:numId w:val="5"/>
        </w:numPr>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Low fixation of mineral nutrients from fertilizers: plants take up</w:t>
      </w:r>
      <w:r w:rsidR="00C6307C" w:rsidRPr="00275018">
        <w:rPr>
          <w:rFonts w:ascii="Tahoma" w:hAnsi="Tahoma" w:cs="Tahoma"/>
          <w:color w:val="000000" w:themeColor="text1"/>
          <w:sz w:val="24"/>
          <w:szCs w:val="24"/>
          <w:lang w:val="en-US"/>
        </w:rPr>
        <w:t xml:space="preserve"> </w:t>
      </w:r>
      <w:r w:rsidRPr="00275018">
        <w:rPr>
          <w:rFonts w:ascii="Tahoma" w:hAnsi="Tahoma" w:cs="Tahoma"/>
          <w:color w:val="000000" w:themeColor="text1"/>
          <w:sz w:val="24"/>
          <w:szCs w:val="24"/>
          <w:lang w:val="en-US"/>
        </w:rPr>
        <w:t xml:space="preserve">only 40-65% of nitrogen from the applied </w:t>
      </w:r>
      <w:r w:rsidR="00E84ED9" w:rsidRPr="00275018">
        <w:rPr>
          <w:rFonts w:ascii="Tahoma" w:hAnsi="Tahoma" w:cs="Tahoma"/>
          <w:color w:val="000000" w:themeColor="text1"/>
          <w:sz w:val="24"/>
          <w:szCs w:val="24"/>
          <w:lang w:val="en-US"/>
        </w:rPr>
        <w:t xml:space="preserve">fertilizer, 15-25% of phosphorus and 30-50% of </w:t>
      </w:r>
      <w:proofErr w:type="gramStart"/>
      <w:r w:rsidR="00E84ED9" w:rsidRPr="00275018">
        <w:rPr>
          <w:rFonts w:ascii="Tahoma" w:hAnsi="Tahoma" w:cs="Tahoma"/>
          <w:color w:val="000000" w:themeColor="text1"/>
          <w:sz w:val="24"/>
          <w:szCs w:val="24"/>
          <w:lang w:val="en-US"/>
        </w:rPr>
        <w:t>potassium</w:t>
      </w:r>
      <w:proofErr w:type="gramEnd"/>
    </w:p>
    <w:p w14:paraId="1787BD17" w14:textId="3491F541" w:rsidR="00E84ED9" w:rsidRPr="00275018" w:rsidRDefault="00E84ED9" w:rsidP="00980FE5">
      <w:pPr>
        <w:pStyle w:val="a3"/>
        <w:numPr>
          <w:ilvl w:val="0"/>
          <w:numId w:val="5"/>
        </w:numPr>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 xml:space="preserve">Long-continued efficiency decrease of mineral </w:t>
      </w:r>
      <w:proofErr w:type="gramStart"/>
      <w:r w:rsidRPr="00275018">
        <w:rPr>
          <w:rFonts w:ascii="Tahoma" w:hAnsi="Tahoma" w:cs="Tahoma"/>
          <w:color w:val="000000" w:themeColor="text1"/>
          <w:sz w:val="24"/>
          <w:szCs w:val="24"/>
          <w:lang w:val="en-US"/>
        </w:rPr>
        <w:t>fertilizers</w:t>
      </w:r>
      <w:proofErr w:type="gramEnd"/>
    </w:p>
    <w:p w14:paraId="5E7A851F" w14:textId="75D0B66F" w:rsidR="00E84ED9" w:rsidRPr="00275018" w:rsidRDefault="00E84ED9" w:rsidP="00980FE5">
      <w:pPr>
        <w:pStyle w:val="a3"/>
        <w:numPr>
          <w:ilvl w:val="0"/>
          <w:numId w:val="5"/>
        </w:numPr>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Soil impoverishment and degradation</w:t>
      </w:r>
    </w:p>
    <w:p w14:paraId="5FBB8A54" w14:textId="2B8F933C" w:rsidR="00C6307C" w:rsidRPr="00275018" w:rsidRDefault="00C6307C" w:rsidP="00C6307C">
      <w:pPr>
        <w:pStyle w:val="a3"/>
        <w:numPr>
          <w:ilvl w:val="0"/>
          <w:numId w:val="5"/>
        </w:numPr>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 xml:space="preserve">An expressed </w:t>
      </w:r>
      <w:r w:rsidR="00E84ED9" w:rsidRPr="00275018">
        <w:rPr>
          <w:rFonts w:ascii="Tahoma" w:hAnsi="Tahoma" w:cs="Tahoma"/>
          <w:color w:val="000000" w:themeColor="text1"/>
          <w:sz w:val="24"/>
          <w:szCs w:val="24"/>
          <w:lang w:val="en-US"/>
        </w:rPr>
        <w:t>demand among major producers of the mineral fertilizers</w:t>
      </w:r>
      <w:r w:rsidRPr="00275018">
        <w:rPr>
          <w:rFonts w:ascii="Tahoma" w:hAnsi="Tahoma" w:cs="Tahoma"/>
          <w:color w:val="000000" w:themeColor="text1"/>
          <w:sz w:val="24"/>
          <w:szCs w:val="24"/>
          <w:lang w:val="en-US"/>
        </w:rPr>
        <w:t xml:space="preserve"> </w:t>
      </w:r>
      <w:r w:rsidR="00E84ED9" w:rsidRPr="00275018">
        <w:rPr>
          <w:rFonts w:ascii="Tahoma" w:hAnsi="Tahoma" w:cs="Tahoma"/>
          <w:color w:val="000000" w:themeColor="text1"/>
          <w:sz w:val="24"/>
          <w:szCs w:val="24"/>
          <w:lang w:val="en-US"/>
        </w:rPr>
        <w:t xml:space="preserve">for technologies and products that increase efficiency of their </w:t>
      </w:r>
      <w:r w:rsidR="00E97FC2" w:rsidRPr="00275018">
        <w:rPr>
          <w:rFonts w:ascii="Tahoma" w:hAnsi="Tahoma" w:cs="Tahoma"/>
          <w:color w:val="000000" w:themeColor="text1"/>
          <w:sz w:val="24"/>
          <w:szCs w:val="24"/>
          <w:lang w:val="en-US"/>
        </w:rPr>
        <w:t xml:space="preserve">key </w:t>
      </w:r>
      <w:r w:rsidR="00E84ED9" w:rsidRPr="00275018">
        <w:rPr>
          <w:rFonts w:ascii="Tahoma" w:hAnsi="Tahoma" w:cs="Tahoma"/>
          <w:color w:val="000000" w:themeColor="text1"/>
          <w:sz w:val="24"/>
          <w:szCs w:val="24"/>
          <w:lang w:val="en-US"/>
        </w:rPr>
        <w:t xml:space="preserve">products on the </w:t>
      </w:r>
      <w:proofErr w:type="gramStart"/>
      <w:r w:rsidR="00E84ED9" w:rsidRPr="00275018">
        <w:rPr>
          <w:rFonts w:ascii="Tahoma" w:hAnsi="Tahoma" w:cs="Tahoma"/>
          <w:color w:val="000000" w:themeColor="text1"/>
          <w:sz w:val="24"/>
          <w:szCs w:val="24"/>
          <w:lang w:val="en-US"/>
        </w:rPr>
        <w:t>market</w:t>
      </w:r>
      <w:proofErr w:type="gramEnd"/>
      <w:r w:rsidR="00E633E0" w:rsidRPr="00275018">
        <w:rPr>
          <w:rFonts w:ascii="Tahoma" w:hAnsi="Tahoma" w:cs="Tahoma"/>
          <w:color w:val="000000" w:themeColor="text1"/>
          <w:sz w:val="24"/>
          <w:szCs w:val="24"/>
          <w:lang w:val="en-US"/>
        </w:rPr>
        <w:tab/>
      </w:r>
    </w:p>
    <w:p w14:paraId="7AE1C19F" w14:textId="044DEC11" w:rsidR="00E84ED9" w:rsidRPr="00275018" w:rsidRDefault="00C6307C" w:rsidP="00275018">
      <w:pPr>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 xml:space="preserve">became a basis for the new generation of mineral fertilizers – biomodified mineral (biomineral) fertilizers that have significantly higher agronomical, </w:t>
      </w:r>
      <w:proofErr w:type="gramStart"/>
      <w:r w:rsidRPr="00275018">
        <w:rPr>
          <w:rFonts w:ascii="Tahoma" w:hAnsi="Tahoma" w:cs="Tahoma"/>
          <w:color w:val="000000" w:themeColor="text1"/>
          <w:sz w:val="24"/>
          <w:szCs w:val="24"/>
          <w:lang w:val="en-US"/>
        </w:rPr>
        <w:t>economic</w:t>
      </w:r>
      <w:proofErr w:type="gramEnd"/>
      <w:r w:rsidRPr="00275018">
        <w:rPr>
          <w:rFonts w:ascii="Tahoma" w:hAnsi="Tahoma" w:cs="Tahoma"/>
          <w:color w:val="000000" w:themeColor="text1"/>
          <w:sz w:val="24"/>
          <w:szCs w:val="24"/>
          <w:lang w:val="en-US"/>
        </w:rPr>
        <w:t xml:space="preserve"> and ecological efficiency compared to the traditional mineral fertilizers.</w:t>
      </w:r>
    </w:p>
    <w:p w14:paraId="61B15D2C" w14:textId="4FABF9AA" w:rsidR="00AD1A8D" w:rsidRPr="00275018" w:rsidRDefault="00AD1A8D" w:rsidP="00AD1A8D">
      <w:pPr>
        <w:ind w:firstLine="360"/>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“Biomineral fertilizers” is one of the l</w:t>
      </w:r>
      <w:r w:rsidR="005933C3" w:rsidRPr="00275018">
        <w:rPr>
          <w:rFonts w:ascii="Tahoma" w:hAnsi="Tahoma" w:cs="Tahoma"/>
          <w:color w:val="000000" w:themeColor="text1"/>
          <w:sz w:val="24"/>
          <w:szCs w:val="24"/>
          <w:lang w:val="en-US"/>
        </w:rPr>
        <w:t>e</w:t>
      </w:r>
      <w:r w:rsidR="006C46B9" w:rsidRPr="00275018">
        <w:rPr>
          <w:rFonts w:ascii="Tahoma" w:hAnsi="Tahoma" w:cs="Tahoma"/>
          <w:color w:val="000000" w:themeColor="text1"/>
          <w:sz w:val="24"/>
          <w:szCs w:val="24"/>
          <w:lang w:val="en-US"/>
        </w:rPr>
        <w:t>ading projects in “Agro” sector of the Skolkovo foundation – the largest accelerator in the Russian Federation</w:t>
      </w:r>
      <w:r w:rsidRPr="00275018">
        <w:rPr>
          <w:rFonts w:ascii="Tahoma" w:hAnsi="Tahoma" w:cs="Tahoma"/>
          <w:color w:val="000000" w:themeColor="text1"/>
          <w:sz w:val="24"/>
          <w:szCs w:val="24"/>
          <w:lang w:val="en-US"/>
        </w:rPr>
        <w:t xml:space="preserve">. </w:t>
      </w:r>
      <w:r w:rsidR="006C46B9" w:rsidRPr="00275018">
        <w:rPr>
          <w:rFonts w:ascii="Tahoma" w:hAnsi="Tahoma" w:cs="Tahoma"/>
          <w:color w:val="000000" w:themeColor="text1"/>
          <w:sz w:val="24"/>
          <w:szCs w:val="24"/>
          <w:lang w:val="en-US"/>
        </w:rPr>
        <w:t>MCC “</w:t>
      </w:r>
      <w:proofErr w:type="spellStart"/>
      <w:r w:rsidR="006C46B9" w:rsidRPr="00275018">
        <w:rPr>
          <w:rFonts w:ascii="Tahoma" w:hAnsi="Tahoma" w:cs="Tahoma"/>
          <w:color w:val="000000" w:themeColor="text1"/>
          <w:sz w:val="24"/>
          <w:szCs w:val="24"/>
          <w:lang w:val="en-US"/>
        </w:rPr>
        <w:t>EuroChem</w:t>
      </w:r>
      <w:proofErr w:type="spellEnd"/>
      <w:r w:rsidR="006C46B9" w:rsidRPr="00275018">
        <w:rPr>
          <w:rFonts w:ascii="Tahoma" w:hAnsi="Tahoma" w:cs="Tahoma"/>
          <w:color w:val="000000" w:themeColor="text1"/>
          <w:sz w:val="24"/>
          <w:szCs w:val="24"/>
          <w:lang w:val="en-US"/>
        </w:rPr>
        <w:t xml:space="preserve">”, one of the </w:t>
      </w:r>
      <w:proofErr w:type="gramStart"/>
      <w:r w:rsidR="006C46B9" w:rsidRPr="00275018">
        <w:rPr>
          <w:rFonts w:ascii="Tahoma" w:hAnsi="Tahoma" w:cs="Tahoma"/>
          <w:color w:val="000000" w:themeColor="text1"/>
          <w:sz w:val="24"/>
          <w:szCs w:val="24"/>
          <w:lang w:val="en-US"/>
        </w:rPr>
        <w:t>world</w:t>
      </w:r>
      <w:proofErr w:type="gramEnd"/>
      <w:r w:rsidR="006C46B9" w:rsidRPr="00275018">
        <w:rPr>
          <w:rFonts w:ascii="Tahoma" w:hAnsi="Tahoma" w:cs="Tahoma"/>
          <w:color w:val="000000" w:themeColor="text1"/>
          <w:sz w:val="24"/>
          <w:szCs w:val="24"/>
          <w:lang w:val="en-US"/>
        </w:rPr>
        <w:t xml:space="preserve"> leading mineral fertilizer producers, is a co-partner of the project. </w:t>
      </w:r>
    </w:p>
    <w:p w14:paraId="18649CB7" w14:textId="4C21A117" w:rsidR="00862ACF" w:rsidRPr="00275018" w:rsidRDefault="002A5B9C" w:rsidP="00275018">
      <w:pPr>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lastRenderedPageBreak/>
        <w:t>B</w:t>
      </w:r>
      <w:r w:rsidR="00D277C0" w:rsidRPr="00275018">
        <w:rPr>
          <w:rFonts w:ascii="Tahoma" w:hAnsi="Tahoma" w:cs="Tahoma"/>
          <w:color w:val="000000" w:themeColor="text1"/>
          <w:sz w:val="24"/>
          <w:szCs w:val="24"/>
          <w:lang w:val="en-US"/>
        </w:rPr>
        <w:t xml:space="preserve">eing one of the most advanced technologies in </w:t>
      </w:r>
      <w:r w:rsidR="004F2EC0" w:rsidRPr="00275018">
        <w:rPr>
          <w:rFonts w:ascii="Tahoma" w:hAnsi="Tahoma" w:cs="Tahoma"/>
          <w:color w:val="000000" w:themeColor="text1"/>
          <w:sz w:val="24"/>
          <w:szCs w:val="24"/>
          <w:lang w:val="en-US"/>
        </w:rPr>
        <w:t xml:space="preserve">agriculture, </w:t>
      </w:r>
      <w:r w:rsidRPr="00275018">
        <w:rPr>
          <w:rFonts w:ascii="Tahoma" w:hAnsi="Tahoma" w:cs="Tahoma"/>
          <w:color w:val="000000" w:themeColor="text1"/>
          <w:sz w:val="24"/>
          <w:szCs w:val="24"/>
          <w:lang w:val="en-US"/>
        </w:rPr>
        <w:t xml:space="preserve">sphere of this this development research is recognized as the key one by the mineral fertilizers producers and agricultural producers in Russia and </w:t>
      </w:r>
      <w:proofErr w:type="gramStart"/>
      <w:r w:rsidRPr="00275018">
        <w:rPr>
          <w:rFonts w:ascii="Tahoma" w:hAnsi="Tahoma" w:cs="Tahoma"/>
          <w:color w:val="000000" w:themeColor="text1"/>
          <w:sz w:val="24"/>
          <w:szCs w:val="24"/>
          <w:lang w:val="en-US"/>
        </w:rPr>
        <w:t>abroad, and</w:t>
      </w:r>
      <w:proofErr w:type="gramEnd"/>
      <w:r w:rsidRPr="00275018">
        <w:rPr>
          <w:rFonts w:ascii="Tahoma" w:hAnsi="Tahoma" w:cs="Tahoma"/>
          <w:color w:val="000000" w:themeColor="text1"/>
          <w:sz w:val="24"/>
          <w:szCs w:val="24"/>
          <w:lang w:val="en-US"/>
        </w:rPr>
        <w:t xml:space="preserve"> considered to be the one to change the economic sector.</w:t>
      </w:r>
    </w:p>
    <w:p w14:paraId="582BF116" w14:textId="616F7476" w:rsidR="002667D5" w:rsidRPr="00275018" w:rsidRDefault="002667D5" w:rsidP="00275018">
      <w:pPr>
        <w:ind w:firstLine="708"/>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In 2002 and 2012 the following patents for biomineral fertilizers production were registered in Russia:</w:t>
      </w:r>
    </w:p>
    <w:p w14:paraId="08843BE8" w14:textId="21EAFB55" w:rsidR="002667D5" w:rsidRPr="00275018" w:rsidRDefault="002667D5" w:rsidP="002667D5">
      <w:pPr>
        <w:pStyle w:val="a3"/>
        <w:numPr>
          <w:ilvl w:val="0"/>
          <w:numId w:val="2"/>
        </w:numPr>
        <w:ind w:left="1134" w:hanging="425"/>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 xml:space="preserve">Method of preparation of biomineral fertilizers and ameliorants (variants) №2512277 </w:t>
      </w:r>
      <w:r w:rsidRPr="00275018">
        <w:rPr>
          <w:rFonts w:ascii="Tahoma" w:hAnsi="Tahoma" w:cs="Tahoma"/>
          <w:color w:val="000000" w:themeColor="text1"/>
          <w:sz w:val="24"/>
          <w:szCs w:val="24"/>
        </w:rPr>
        <w:t>от</w:t>
      </w:r>
      <w:r w:rsidRPr="00275018">
        <w:rPr>
          <w:rFonts w:ascii="Tahoma" w:hAnsi="Tahoma" w:cs="Tahoma"/>
          <w:color w:val="000000" w:themeColor="text1"/>
          <w:sz w:val="24"/>
          <w:szCs w:val="24"/>
          <w:lang w:val="en-US"/>
        </w:rPr>
        <w:t>10/10/2012 (</w:t>
      </w:r>
      <w:hyperlink r:id="rId8" w:history="1">
        <w:r w:rsidRPr="00275018">
          <w:rPr>
            <w:rStyle w:val="a4"/>
            <w:rFonts w:ascii="Tahoma" w:hAnsi="Tahoma" w:cs="Tahoma"/>
            <w:color w:val="000000" w:themeColor="text1"/>
            <w:sz w:val="24"/>
            <w:szCs w:val="24"/>
            <w:lang w:val="en-US"/>
          </w:rPr>
          <w:t>http://www.findpatent.ru/patent/251/2512277.html</w:t>
        </w:r>
      </w:hyperlink>
      <w:r w:rsidRPr="00275018">
        <w:rPr>
          <w:rFonts w:ascii="Tahoma" w:hAnsi="Tahoma" w:cs="Tahoma"/>
          <w:color w:val="000000" w:themeColor="text1"/>
          <w:sz w:val="24"/>
          <w:szCs w:val="24"/>
          <w:lang w:val="en-US"/>
        </w:rPr>
        <w:t>)</w:t>
      </w:r>
    </w:p>
    <w:p w14:paraId="53FAEC87" w14:textId="1B2DC493" w:rsidR="002667D5" w:rsidRPr="00275018" w:rsidRDefault="002667D5" w:rsidP="002667D5">
      <w:pPr>
        <w:pStyle w:val="a3"/>
        <w:numPr>
          <w:ilvl w:val="0"/>
          <w:numId w:val="2"/>
        </w:numPr>
        <w:ind w:left="1134" w:hanging="425"/>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Biofertilizers</w:t>
      </w:r>
      <w:r w:rsidR="004B2D38" w:rsidRPr="00275018">
        <w:rPr>
          <w:rFonts w:ascii="Tahoma" w:hAnsi="Tahoma" w:cs="Tahoma"/>
          <w:color w:val="000000" w:themeColor="text1"/>
          <w:sz w:val="24"/>
          <w:szCs w:val="24"/>
          <w:lang w:val="en-US"/>
        </w:rPr>
        <w:t>,</w:t>
      </w:r>
      <w:r w:rsidRPr="00275018">
        <w:rPr>
          <w:rFonts w:ascii="Tahoma" w:hAnsi="Tahoma" w:cs="Tahoma"/>
          <w:color w:val="000000" w:themeColor="text1"/>
          <w:sz w:val="24"/>
          <w:szCs w:val="24"/>
          <w:lang w:val="en-US"/>
        </w:rPr>
        <w:t xml:space="preserve"> method of preparation.  №2241692 </w:t>
      </w:r>
      <w:r w:rsidRPr="00275018">
        <w:rPr>
          <w:rFonts w:ascii="Tahoma" w:hAnsi="Tahoma" w:cs="Tahoma"/>
          <w:color w:val="000000" w:themeColor="text1"/>
          <w:sz w:val="24"/>
          <w:szCs w:val="24"/>
        </w:rPr>
        <w:t>от</w:t>
      </w:r>
      <w:r w:rsidRPr="00275018">
        <w:rPr>
          <w:rFonts w:ascii="Tahoma" w:hAnsi="Tahoma" w:cs="Tahoma"/>
          <w:color w:val="000000" w:themeColor="text1"/>
          <w:sz w:val="24"/>
          <w:szCs w:val="24"/>
          <w:lang w:val="en-US"/>
        </w:rPr>
        <w:t>11/10/2002 (</w:t>
      </w:r>
      <w:hyperlink r:id="rId9" w:history="1">
        <w:r w:rsidRPr="00275018">
          <w:rPr>
            <w:rStyle w:val="a4"/>
            <w:rFonts w:ascii="Tahoma" w:hAnsi="Tahoma" w:cs="Tahoma"/>
            <w:color w:val="000000" w:themeColor="text1"/>
            <w:sz w:val="24"/>
            <w:szCs w:val="24"/>
            <w:lang w:val="en-US"/>
          </w:rPr>
          <w:t>http://bd.patent.su/2241000-2241999/pat/servl/servlet4c3d.html</w:t>
        </w:r>
      </w:hyperlink>
      <w:r w:rsidRPr="00275018">
        <w:rPr>
          <w:rFonts w:ascii="Tahoma" w:hAnsi="Tahoma" w:cs="Tahoma"/>
          <w:color w:val="000000" w:themeColor="text1"/>
          <w:sz w:val="24"/>
          <w:szCs w:val="24"/>
          <w:lang w:val="en-US"/>
        </w:rPr>
        <w:t>)</w:t>
      </w:r>
    </w:p>
    <w:p w14:paraId="7757326E" w14:textId="298C1E68" w:rsidR="006C042E" w:rsidRPr="00275018" w:rsidRDefault="0039735B" w:rsidP="00275018">
      <w:pPr>
        <w:ind w:firstLine="360"/>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 xml:space="preserve">In 2019, together with its subsidiary companies, “MCC </w:t>
      </w:r>
      <w:proofErr w:type="spellStart"/>
      <w:r w:rsidRPr="00275018">
        <w:rPr>
          <w:rFonts w:ascii="Tahoma" w:hAnsi="Tahoma" w:cs="Tahoma"/>
          <w:color w:val="000000" w:themeColor="text1"/>
          <w:sz w:val="24"/>
          <w:szCs w:val="24"/>
          <w:lang w:val="en-US"/>
        </w:rPr>
        <w:t>EuroChem</w:t>
      </w:r>
      <w:proofErr w:type="spellEnd"/>
      <w:r w:rsidR="00275018" w:rsidRPr="00275018">
        <w:rPr>
          <w:rFonts w:ascii="Tahoma" w:hAnsi="Tahoma" w:cs="Tahoma"/>
          <w:color w:val="000000" w:themeColor="text1"/>
          <w:sz w:val="24"/>
          <w:szCs w:val="24"/>
          <w:lang w:val="en-US"/>
        </w:rPr>
        <w:t>” registered</w:t>
      </w:r>
      <w:r w:rsidR="004B2D38" w:rsidRPr="00275018">
        <w:rPr>
          <w:rFonts w:ascii="Tahoma" w:hAnsi="Tahoma" w:cs="Tahoma"/>
          <w:color w:val="000000" w:themeColor="text1"/>
          <w:sz w:val="24"/>
          <w:szCs w:val="24"/>
          <w:lang w:val="en-US"/>
        </w:rPr>
        <w:t xml:space="preserve"> three types</w:t>
      </w:r>
      <w:r w:rsidRPr="00275018">
        <w:rPr>
          <w:rFonts w:ascii="Tahoma" w:hAnsi="Tahoma" w:cs="Tahoma"/>
          <w:color w:val="000000" w:themeColor="text1"/>
          <w:sz w:val="24"/>
          <w:szCs w:val="24"/>
          <w:lang w:val="en-US"/>
        </w:rPr>
        <w:t xml:space="preserve"> of biomineral fertilizers as well as a </w:t>
      </w:r>
      <w:proofErr w:type="spellStart"/>
      <w:r w:rsidRPr="00275018">
        <w:rPr>
          <w:rFonts w:ascii="Tahoma" w:hAnsi="Tahoma" w:cs="Tahoma"/>
          <w:color w:val="000000" w:themeColor="text1"/>
          <w:sz w:val="24"/>
          <w:szCs w:val="24"/>
          <w:lang w:val="en-US"/>
        </w:rPr>
        <w:t>biomodifier</w:t>
      </w:r>
      <w:proofErr w:type="spellEnd"/>
      <w:r w:rsidRPr="00275018">
        <w:rPr>
          <w:rFonts w:ascii="Tahoma" w:hAnsi="Tahoma" w:cs="Tahoma"/>
          <w:color w:val="000000" w:themeColor="text1"/>
          <w:sz w:val="24"/>
          <w:szCs w:val="24"/>
          <w:lang w:val="en-US"/>
        </w:rPr>
        <w:t xml:space="preserve"> for biomi</w:t>
      </w:r>
      <w:r w:rsidR="00E97FC2" w:rsidRPr="00275018">
        <w:rPr>
          <w:rFonts w:ascii="Tahoma" w:hAnsi="Tahoma" w:cs="Tahoma"/>
          <w:color w:val="000000" w:themeColor="text1"/>
          <w:sz w:val="24"/>
          <w:szCs w:val="24"/>
          <w:lang w:val="en-US"/>
        </w:rPr>
        <w:t>ne</w:t>
      </w:r>
      <w:r w:rsidRPr="00275018">
        <w:rPr>
          <w:rFonts w:ascii="Tahoma" w:hAnsi="Tahoma" w:cs="Tahoma"/>
          <w:color w:val="000000" w:themeColor="text1"/>
          <w:sz w:val="24"/>
          <w:szCs w:val="24"/>
          <w:lang w:val="en-US"/>
        </w:rPr>
        <w:t>ral fertilizers production in EU:</w:t>
      </w:r>
    </w:p>
    <w:p w14:paraId="7F00954A" w14:textId="3164223E" w:rsidR="0039735B" w:rsidRPr="00275018" w:rsidRDefault="0039735B" w:rsidP="0039735B">
      <w:pPr>
        <w:pStyle w:val="a3"/>
        <w:numPr>
          <w:ilvl w:val="0"/>
          <w:numId w:val="3"/>
        </w:numPr>
        <w:jc w:val="both"/>
        <w:rPr>
          <w:rFonts w:ascii="Tahoma" w:hAnsi="Tahoma" w:cs="Tahoma"/>
          <w:color w:val="000000" w:themeColor="text1"/>
          <w:sz w:val="24"/>
          <w:szCs w:val="24"/>
        </w:rPr>
      </w:pPr>
      <w:proofErr w:type="spellStart"/>
      <w:r w:rsidRPr="00275018">
        <w:rPr>
          <w:rFonts w:ascii="Tahoma" w:hAnsi="Tahoma" w:cs="Tahoma"/>
          <w:color w:val="000000" w:themeColor="text1"/>
          <w:sz w:val="24"/>
          <w:szCs w:val="24"/>
          <w:lang w:val="en-US"/>
        </w:rPr>
        <w:t>Ammophos</w:t>
      </w:r>
      <w:proofErr w:type="spellEnd"/>
      <w:r w:rsidRPr="00275018">
        <w:rPr>
          <w:rFonts w:ascii="Tahoma" w:hAnsi="Tahoma" w:cs="Tahoma"/>
          <w:color w:val="000000" w:themeColor="text1"/>
          <w:sz w:val="24"/>
          <w:szCs w:val="24"/>
          <w:lang w:val="en-US"/>
        </w:rPr>
        <w:t>-bio</w:t>
      </w:r>
    </w:p>
    <w:p w14:paraId="69826A34" w14:textId="61961D80" w:rsidR="0039735B" w:rsidRPr="00275018" w:rsidRDefault="0039735B" w:rsidP="0039735B">
      <w:pPr>
        <w:pStyle w:val="a3"/>
        <w:numPr>
          <w:ilvl w:val="0"/>
          <w:numId w:val="3"/>
        </w:numPr>
        <w:jc w:val="both"/>
        <w:rPr>
          <w:rFonts w:ascii="Tahoma" w:hAnsi="Tahoma" w:cs="Tahoma"/>
          <w:color w:val="000000" w:themeColor="text1"/>
          <w:sz w:val="24"/>
          <w:szCs w:val="24"/>
        </w:rPr>
      </w:pPr>
      <w:proofErr w:type="spellStart"/>
      <w:r w:rsidRPr="00275018">
        <w:rPr>
          <w:rFonts w:ascii="Tahoma" w:hAnsi="Tahoma" w:cs="Tahoma"/>
          <w:color w:val="000000" w:themeColor="text1"/>
          <w:sz w:val="24"/>
          <w:szCs w:val="24"/>
          <w:lang w:val="en-US"/>
        </w:rPr>
        <w:t>Sulfoammophos</w:t>
      </w:r>
      <w:proofErr w:type="spellEnd"/>
      <w:r w:rsidRPr="00275018">
        <w:rPr>
          <w:rFonts w:ascii="Tahoma" w:hAnsi="Tahoma" w:cs="Tahoma"/>
          <w:color w:val="000000" w:themeColor="text1"/>
          <w:sz w:val="24"/>
          <w:szCs w:val="24"/>
          <w:lang w:val="en-US"/>
        </w:rPr>
        <w:t>-bio</w:t>
      </w:r>
    </w:p>
    <w:p w14:paraId="188EA0CD" w14:textId="53D12046" w:rsidR="004C3BCD" w:rsidRPr="00275018" w:rsidRDefault="004B2D38" w:rsidP="004C3BCD">
      <w:pPr>
        <w:pStyle w:val="a3"/>
        <w:numPr>
          <w:ilvl w:val="0"/>
          <w:numId w:val="3"/>
        </w:numPr>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NPK</w:t>
      </w:r>
      <w:r w:rsidR="0039735B" w:rsidRPr="00275018">
        <w:rPr>
          <w:rFonts w:ascii="Tahoma" w:hAnsi="Tahoma" w:cs="Tahoma"/>
          <w:color w:val="000000" w:themeColor="text1"/>
          <w:sz w:val="24"/>
          <w:szCs w:val="24"/>
          <w:lang w:val="en-US"/>
        </w:rPr>
        <w:t xml:space="preserve"> fertilizer-bio (5 brands)</w:t>
      </w:r>
      <w:r w:rsidR="0020292B" w:rsidRPr="00275018">
        <w:rPr>
          <w:rFonts w:ascii="Tahoma" w:hAnsi="Tahoma" w:cs="Tahoma"/>
          <w:color w:val="000000" w:themeColor="text1"/>
          <w:sz w:val="24"/>
          <w:szCs w:val="24"/>
          <w:lang w:val="en-US"/>
        </w:rPr>
        <w:t xml:space="preserve">  </w:t>
      </w:r>
    </w:p>
    <w:p w14:paraId="32BBA43A" w14:textId="49657BE5" w:rsidR="00786626" w:rsidRPr="00275018" w:rsidRDefault="00E725D1" w:rsidP="00567346">
      <w:pPr>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More</w:t>
      </w:r>
      <w:r w:rsidR="00EA2632" w:rsidRPr="00275018">
        <w:rPr>
          <w:rFonts w:ascii="Tahoma" w:hAnsi="Tahoma" w:cs="Tahoma"/>
          <w:color w:val="000000" w:themeColor="text1"/>
          <w:sz w:val="24"/>
          <w:szCs w:val="24"/>
          <w:lang w:val="en-US"/>
        </w:rPr>
        <w:t xml:space="preserve"> than 80 </w:t>
      </w:r>
      <w:r w:rsidRPr="00275018">
        <w:rPr>
          <w:rFonts w:ascii="Tahoma" w:hAnsi="Tahoma" w:cs="Tahoma"/>
          <w:color w:val="000000" w:themeColor="text1"/>
          <w:sz w:val="24"/>
          <w:szCs w:val="24"/>
          <w:lang w:val="en-US"/>
        </w:rPr>
        <w:t>trials of</w:t>
      </w:r>
      <w:r w:rsidR="00EA2632" w:rsidRPr="00275018">
        <w:rPr>
          <w:rFonts w:ascii="Tahoma" w:hAnsi="Tahoma" w:cs="Tahoma"/>
          <w:color w:val="000000" w:themeColor="text1"/>
          <w:sz w:val="24"/>
          <w:szCs w:val="24"/>
          <w:lang w:val="en-US"/>
        </w:rPr>
        <w:t xml:space="preserve"> different fertilizers/crops </w:t>
      </w:r>
      <w:r w:rsidR="0073576B" w:rsidRPr="00275018">
        <w:rPr>
          <w:rFonts w:ascii="Tahoma" w:hAnsi="Tahoma" w:cs="Tahoma"/>
          <w:color w:val="000000" w:themeColor="text1"/>
          <w:sz w:val="24"/>
          <w:szCs w:val="24"/>
          <w:lang w:val="en-US"/>
        </w:rPr>
        <w:t>/soils/regions have been carried out</w:t>
      </w:r>
      <w:r w:rsidRPr="00275018">
        <w:rPr>
          <w:rFonts w:ascii="Tahoma" w:hAnsi="Tahoma" w:cs="Tahoma"/>
          <w:color w:val="000000" w:themeColor="text1"/>
          <w:sz w:val="24"/>
          <w:szCs w:val="24"/>
          <w:lang w:val="en-US"/>
        </w:rPr>
        <w:t xml:space="preserve"> within the last few years</w:t>
      </w:r>
      <w:r w:rsidR="0073576B" w:rsidRPr="00275018">
        <w:rPr>
          <w:rFonts w:ascii="Tahoma" w:hAnsi="Tahoma" w:cs="Tahoma"/>
          <w:color w:val="000000" w:themeColor="text1"/>
          <w:sz w:val="24"/>
          <w:szCs w:val="24"/>
          <w:lang w:val="en-US"/>
        </w:rPr>
        <w:t xml:space="preserve">, proving the project to be 97% </w:t>
      </w:r>
      <w:r w:rsidR="00436514" w:rsidRPr="00275018">
        <w:rPr>
          <w:rFonts w:ascii="Tahoma" w:hAnsi="Tahoma" w:cs="Tahoma"/>
          <w:color w:val="000000" w:themeColor="text1"/>
          <w:sz w:val="24"/>
          <w:szCs w:val="24"/>
          <w:lang w:val="en-US"/>
        </w:rPr>
        <w:t xml:space="preserve">agronomically and </w:t>
      </w:r>
      <w:r w:rsidR="0073576B" w:rsidRPr="00275018">
        <w:rPr>
          <w:rFonts w:ascii="Tahoma" w:hAnsi="Tahoma" w:cs="Tahoma"/>
          <w:color w:val="000000" w:themeColor="text1"/>
          <w:sz w:val="24"/>
          <w:szCs w:val="24"/>
          <w:lang w:val="en-US"/>
        </w:rPr>
        <w:t>economically justified.</w:t>
      </w:r>
    </w:p>
    <w:p w14:paraId="7F1286BF" w14:textId="05FD8262" w:rsidR="00D929F2" w:rsidRPr="00275018" w:rsidRDefault="00D929F2" w:rsidP="00275018">
      <w:pPr>
        <w:ind w:firstLine="708"/>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Biomineral fertilizers</w:t>
      </w:r>
      <w:r w:rsidR="00E97FC2" w:rsidRPr="00275018">
        <w:rPr>
          <w:rFonts w:ascii="Tahoma" w:hAnsi="Tahoma" w:cs="Tahoma"/>
          <w:color w:val="000000" w:themeColor="text1"/>
          <w:sz w:val="24"/>
          <w:szCs w:val="24"/>
          <w:lang w:val="en-US"/>
        </w:rPr>
        <w:t>,</w:t>
      </w:r>
      <w:r w:rsidRPr="00275018">
        <w:rPr>
          <w:rFonts w:ascii="Tahoma" w:hAnsi="Tahoma" w:cs="Tahoma"/>
          <w:color w:val="000000" w:themeColor="text1"/>
          <w:sz w:val="24"/>
          <w:szCs w:val="24"/>
          <w:lang w:val="en-US"/>
        </w:rPr>
        <w:t xml:space="preserve"> when applied at significantly lower rates</w:t>
      </w:r>
      <w:r w:rsidR="00E97FC2" w:rsidRPr="00275018">
        <w:rPr>
          <w:rFonts w:ascii="Tahoma" w:hAnsi="Tahoma" w:cs="Tahoma"/>
          <w:color w:val="000000" w:themeColor="text1"/>
          <w:sz w:val="24"/>
          <w:szCs w:val="24"/>
          <w:lang w:val="en-US"/>
        </w:rPr>
        <w:t>,</w:t>
      </w:r>
      <w:r w:rsidRPr="00275018">
        <w:rPr>
          <w:rFonts w:ascii="Tahoma" w:hAnsi="Tahoma" w:cs="Tahoma"/>
          <w:color w:val="000000" w:themeColor="text1"/>
          <w:sz w:val="24"/>
          <w:szCs w:val="24"/>
          <w:lang w:val="en-US"/>
        </w:rPr>
        <w:t xml:space="preserve"> increase yield</w:t>
      </w:r>
      <w:r w:rsidR="00ED2906" w:rsidRPr="00275018">
        <w:rPr>
          <w:rFonts w:ascii="Tahoma" w:hAnsi="Tahoma" w:cs="Tahoma"/>
          <w:color w:val="000000" w:themeColor="text1"/>
          <w:sz w:val="24"/>
          <w:szCs w:val="24"/>
          <w:lang w:val="en-US"/>
        </w:rPr>
        <w:t xml:space="preserve"> compared to the traditional fertilizers. As a result, the use of biomineral fertilizers can considerably reduce chemical aggression on soils and underground waters leading to positive ecological effects.</w:t>
      </w:r>
    </w:p>
    <w:p w14:paraId="32625757" w14:textId="023A619F" w:rsidR="009D1B59" w:rsidRPr="00275018" w:rsidRDefault="009D1B59" w:rsidP="00567346">
      <w:pPr>
        <w:ind w:firstLine="709"/>
        <w:jc w:val="both"/>
        <w:rPr>
          <w:rFonts w:ascii="Tahoma" w:hAnsi="Tahoma" w:cs="Tahoma"/>
          <w:color w:val="000000" w:themeColor="text1"/>
          <w:sz w:val="24"/>
          <w:szCs w:val="24"/>
          <w:lang w:val="en-US"/>
        </w:rPr>
      </w:pPr>
      <w:r w:rsidRPr="00275018">
        <w:rPr>
          <w:rFonts w:ascii="Tahoma" w:hAnsi="Tahoma" w:cs="Tahoma"/>
          <w:color w:val="000000" w:themeColor="text1"/>
          <w:sz w:val="24"/>
          <w:szCs w:val="24"/>
          <w:shd w:val="clear" w:color="auto" w:fill="FFFFFF"/>
          <w:lang w:val="en-US"/>
        </w:rPr>
        <w:t xml:space="preserve">Currently, the development of the next generation of improved technologies is being completed based on the existing technologies and microbiological preparations. These are three new microbiological </w:t>
      </w:r>
      <w:proofErr w:type="spellStart"/>
      <w:r w:rsidRPr="00275018">
        <w:rPr>
          <w:rFonts w:ascii="Tahoma" w:hAnsi="Tahoma" w:cs="Tahoma"/>
          <w:color w:val="000000" w:themeColor="text1"/>
          <w:sz w:val="24"/>
          <w:szCs w:val="24"/>
          <w:shd w:val="clear" w:color="auto" w:fill="FFFFFF"/>
          <w:lang w:val="en-US"/>
        </w:rPr>
        <w:t>biomodifier</w:t>
      </w:r>
      <w:proofErr w:type="spellEnd"/>
      <w:r w:rsidRPr="00275018">
        <w:rPr>
          <w:rFonts w:ascii="Tahoma" w:hAnsi="Tahoma" w:cs="Tahoma"/>
          <w:color w:val="000000" w:themeColor="text1"/>
          <w:sz w:val="24"/>
          <w:szCs w:val="24"/>
          <w:shd w:val="clear" w:color="auto" w:fill="FFFFFF"/>
          <w:lang w:val="en-US"/>
        </w:rPr>
        <w:t xml:space="preserve"> preparations of even greater efficiency and stability. They are intended for use specifically with 3 types of mineral fertilizers - nitrogen, phosphorus and complex NPK fertilizers to increase the absorption of nutrients: nitrogen, </w:t>
      </w:r>
      <w:proofErr w:type="gramStart"/>
      <w:r w:rsidRPr="00275018">
        <w:rPr>
          <w:rFonts w:ascii="Tahoma" w:hAnsi="Tahoma" w:cs="Tahoma"/>
          <w:color w:val="000000" w:themeColor="text1"/>
          <w:sz w:val="24"/>
          <w:szCs w:val="24"/>
          <w:shd w:val="clear" w:color="auto" w:fill="FFFFFF"/>
          <w:lang w:val="en-US"/>
        </w:rPr>
        <w:t>phosphorus</w:t>
      </w:r>
      <w:proofErr w:type="gramEnd"/>
      <w:r w:rsidRPr="00275018">
        <w:rPr>
          <w:rFonts w:ascii="Tahoma" w:hAnsi="Tahoma" w:cs="Tahoma"/>
          <w:color w:val="000000" w:themeColor="text1"/>
          <w:sz w:val="24"/>
          <w:szCs w:val="24"/>
          <w:shd w:val="clear" w:color="auto" w:fill="FFFFFF"/>
          <w:lang w:val="en-US"/>
        </w:rPr>
        <w:t xml:space="preserve"> and potassium, reduce environmental risk and increase the profitability of the use of agrochemicals. The preparations are combinations (consortia) of strains of microorganisms, technologically capable of maintaining the required titer when used together with mineral fertilizers in dry (granular) or liquid form.</w:t>
      </w:r>
    </w:p>
    <w:p w14:paraId="5BD2DA3E" w14:textId="554ED2D6" w:rsidR="00B850B4" w:rsidRPr="00275018" w:rsidRDefault="00E25148" w:rsidP="00786626">
      <w:pPr>
        <w:ind w:firstLine="708"/>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 xml:space="preserve">At the end of 2020 Government of the Russian Federation approved a program for creation and development of the </w:t>
      </w:r>
      <w:r w:rsidR="009D1B59" w:rsidRPr="00275018">
        <w:rPr>
          <w:rFonts w:ascii="Tahoma" w:hAnsi="Tahoma" w:cs="Tahoma"/>
          <w:color w:val="000000" w:themeColor="text1"/>
          <w:sz w:val="24"/>
          <w:szCs w:val="24"/>
          <w:lang w:val="en-US"/>
        </w:rPr>
        <w:t>W</w:t>
      </w:r>
      <w:r w:rsidR="006057B1" w:rsidRPr="00275018">
        <w:rPr>
          <w:rFonts w:ascii="Tahoma" w:hAnsi="Tahoma" w:cs="Tahoma"/>
          <w:color w:val="000000" w:themeColor="text1"/>
          <w:sz w:val="24"/>
          <w:szCs w:val="24"/>
          <w:lang w:val="en-US"/>
        </w:rPr>
        <w:t>orld-</w:t>
      </w:r>
      <w:r w:rsidR="009D1B59" w:rsidRPr="00275018">
        <w:rPr>
          <w:rFonts w:ascii="Tahoma" w:hAnsi="Tahoma" w:cs="Tahoma"/>
          <w:color w:val="000000" w:themeColor="text1"/>
          <w:sz w:val="24"/>
          <w:szCs w:val="24"/>
          <w:lang w:val="en-US"/>
        </w:rPr>
        <w:t>Level S</w:t>
      </w:r>
      <w:r w:rsidRPr="00275018">
        <w:rPr>
          <w:rFonts w:ascii="Tahoma" w:hAnsi="Tahoma" w:cs="Tahoma"/>
          <w:color w:val="000000" w:themeColor="text1"/>
          <w:sz w:val="24"/>
          <w:szCs w:val="24"/>
          <w:lang w:val="en-US"/>
        </w:rPr>
        <w:t xml:space="preserve">cientific </w:t>
      </w:r>
      <w:r w:rsidR="009D1B59" w:rsidRPr="00275018">
        <w:rPr>
          <w:rFonts w:ascii="Tahoma" w:hAnsi="Tahoma" w:cs="Tahoma"/>
          <w:color w:val="000000" w:themeColor="text1"/>
          <w:sz w:val="24"/>
          <w:szCs w:val="24"/>
          <w:lang w:val="en-US"/>
        </w:rPr>
        <w:t>C</w:t>
      </w:r>
      <w:r w:rsidRPr="00275018">
        <w:rPr>
          <w:rFonts w:ascii="Tahoma" w:hAnsi="Tahoma" w:cs="Tahoma"/>
          <w:color w:val="000000" w:themeColor="text1"/>
          <w:sz w:val="24"/>
          <w:szCs w:val="24"/>
          <w:lang w:val="en-US"/>
        </w:rPr>
        <w:t>enter “</w:t>
      </w:r>
      <w:proofErr w:type="spellStart"/>
      <w:r w:rsidRPr="00275018">
        <w:rPr>
          <w:rFonts w:ascii="Tahoma" w:hAnsi="Tahoma" w:cs="Tahoma"/>
          <w:color w:val="000000" w:themeColor="text1"/>
          <w:sz w:val="24"/>
          <w:szCs w:val="24"/>
          <w:lang w:val="en-US"/>
        </w:rPr>
        <w:t>Agritechnologies</w:t>
      </w:r>
      <w:proofErr w:type="spellEnd"/>
      <w:r w:rsidRPr="00275018">
        <w:rPr>
          <w:rFonts w:ascii="Tahoma" w:hAnsi="Tahoma" w:cs="Tahoma"/>
          <w:color w:val="000000" w:themeColor="text1"/>
          <w:sz w:val="24"/>
          <w:szCs w:val="24"/>
          <w:lang w:val="en-US"/>
        </w:rPr>
        <w:t xml:space="preserve"> of future” under agreement dd. 16.11.2020 № 075-15-2020-920.</w:t>
      </w:r>
      <w:r w:rsidR="009C7703" w:rsidRPr="00275018">
        <w:rPr>
          <w:rFonts w:ascii="Tahoma" w:hAnsi="Tahoma" w:cs="Tahoma"/>
          <w:color w:val="000000" w:themeColor="text1"/>
          <w:sz w:val="24"/>
          <w:szCs w:val="24"/>
          <w:lang w:val="en-US"/>
        </w:rPr>
        <w:t xml:space="preserve"> “Biomineral </w:t>
      </w:r>
      <w:r w:rsidR="006057B1" w:rsidRPr="00275018">
        <w:rPr>
          <w:rFonts w:ascii="Tahoma" w:hAnsi="Tahoma" w:cs="Tahoma"/>
          <w:color w:val="000000" w:themeColor="text1"/>
          <w:sz w:val="24"/>
          <w:szCs w:val="24"/>
          <w:lang w:val="en-US"/>
        </w:rPr>
        <w:t>fertilizers” is one of its programs</w:t>
      </w:r>
      <w:r w:rsidR="009C7703" w:rsidRPr="00275018">
        <w:rPr>
          <w:rFonts w:ascii="Tahoma" w:hAnsi="Tahoma" w:cs="Tahoma"/>
          <w:color w:val="000000" w:themeColor="text1"/>
          <w:sz w:val="24"/>
          <w:szCs w:val="24"/>
          <w:lang w:val="en-US"/>
        </w:rPr>
        <w:t xml:space="preserve">. All-Russia Research Institute of Agricultural Microbiology and Saint-Petersburg State University – are project executives, </w:t>
      </w:r>
      <w:r w:rsidR="00FA1102" w:rsidRPr="00275018">
        <w:rPr>
          <w:rFonts w:ascii="Tahoma" w:hAnsi="Tahoma" w:cs="Tahoma"/>
          <w:color w:val="000000" w:themeColor="text1"/>
          <w:sz w:val="24"/>
          <w:szCs w:val="24"/>
          <w:lang w:val="en-US"/>
        </w:rPr>
        <w:t>“</w:t>
      </w:r>
      <w:proofErr w:type="spellStart"/>
      <w:r w:rsidR="00FA1102" w:rsidRPr="00275018">
        <w:rPr>
          <w:rFonts w:ascii="Tahoma" w:hAnsi="Tahoma" w:cs="Tahoma"/>
          <w:color w:val="000000" w:themeColor="text1"/>
          <w:sz w:val="24"/>
          <w:szCs w:val="24"/>
          <w:lang w:val="en-US"/>
        </w:rPr>
        <w:t>EuroBiochem</w:t>
      </w:r>
      <w:proofErr w:type="spellEnd"/>
      <w:r w:rsidR="00FA1102" w:rsidRPr="00275018">
        <w:rPr>
          <w:rFonts w:ascii="Tahoma" w:hAnsi="Tahoma" w:cs="Tahoma"/>
          <w:color w:val="000000" w:themeColor="text1"/>
          <w:sz w:val="24"/>
          <w:szCs w:val="24"/>
          <w:lang w:val="en-US"/>
        </w:rPr>
        <w:t xml:space="preserve">” Ltd. – industrial partner. </w:t>
      </w:r>
      <w:r w:rsidR="006057B1" w:rsidRPr="00275018">
        <w:rPr>
          <w:rFonts w:ascii="Tahoma" w:hAnsi="Tahoma" w:cs="Tahoma"/>
          <w:color w:val="000000" w:themeColor="text1"/>
          <w:sz w:val="24"/>
          <w:szCs w:val="24"/>
          <w:lang w:val="en-US"/>
        </w:rPr>
        <w:t xml:space="preserve">Innovative </w:t>
      </w:r>
      <w:r w:rsidR="00FA1102" w:rsidRPr="00275018">
        <w:rPr>
          <w:rFonts w:ascii="Tahoma" w:hAnsi="Tahoma" w:cs="Tahoma"/>
          <w:color w:val="000000" w:themeColor="text1"/>
          <w:sz w:val="24"/>
          <w:szCs w:val="24"/>
          <w:lang w:val="en-US"/>
        </w:rPr>
        <w:t xml:space="preserve">Technologies and </w:t>
      </w:r>
      <w:r w:rsidR="006057B1" w:rsidRPr="00275018">
        <w:rPr>
          <w:rFonts w:ascii="Tahoma" w:hAnsi="Tahoma" w:cs="Tahoma"/>
          <w:color w:val="000000" w:themeColor="text1"/>
          <w:sz w:val="24"/>
          <w:szCs w:val="24"/>
          <w:lang w:val="en-US"/>
        </w:rPr>
        <w:t xml:space="preserve">new </w:t>
      </w:r>
      <w:r w:rsidR="00FA1102" w:rsidRPr="00275018">
        <w:rPr>
          <w:rFonts w:ascii="Tahoma" w:hAnsi="Tahoma" w:cs="Tahoma"/>
          <w:color w:val="000000" w:themeColor="text1"/>
          <w:sz w:val="24"/>
          <w:szCs w:val="24"/>
          <w:lang w:val="en-US"/>
        </w:rPr>
        <w:t xml:space="preserve">microbiological products for biomineral fertilizers production are </w:t>
      </w:r>
      <w:r w:rsidR="006057B1" w:rsidRPr="00275018">
        <w:rPr>
          <w:rFonts w:ascii="Tahoma" w:hAnsi="Tahoma" w:cs="Tahoma"/>
          <w:color w:val="000000" w:themeColor="text1"/>
          <w:sz w:val="24"/>
          <w:szCs w:val="24"/>
          <w:lang w:val="en-US"/>
        </w:rPr>
        <w:t xml:space="preserve">the key objective </w:t>
      </w:r>
      <w:r w:rsidR="00FA1102" w:rsidRPr="00275018">
        <w:rPr>
          <w:rFonts w:ascii="Tahoma" w:hAnsi="Tahoma" w:cs="Tahoma"/>
          <w:color w:val="000000" w:themeColor="text1"/>
          <w:sz w:val="24"/>
          <w:szCs w:val="24"/>
          <w:lang w:val="en-US"/>
        </w:rPr>
        <w:t xml:space="preserve">of the project. </w:t>
      </w:r>
      <w:r w:rsidR="006057B1" w:rsidRPr="00275018">
        <w:rPr>
          <w:rFonts w:ascii="Tahoma" w:hAnsi="Tahoma" w:cs="Tahoma"/>
          <w:color w:val="000000" w:themeColor="text1"/>
          <w:sz w:val="24"/>
          <w:szCs w:val="24"/>
          <w:lang w:val="en-US"/>
        </w:rPr>
        <w:t>The i</w:t>
      </w:r>
      <w:r w:rsidR="00FA1102" w:rsidRPr="00275018">
        <w:rPr>
          <w:rFonts w:ascii="Tahoma" w:hAnsi="Tahoma" w:cs="Tahoma"/>
          <w:color w:val="000000" w:themeColor="text1"/>
          <w:sz w:val="24"/>
          <w:szCs w:val="24"/>
          <w:lang w:val="en-US"/>
        </w:rPr>
        <w:t xml:space="preserve">ndustrial partner is both a </w:t>
      </w:r>
      <w:r w:rsidR="00FA1102" w:rsidRPr="00275018">
        <w:rPr>
          <w:rFonts w:ascii="Tahoma" w:hAnsi="Tahoma" w:cs="Tahoma"/>
          <w:color w:val="000000" w:themeColor="text1"/>
          <w:sz w:val="24"/>
          <w:szCs w:val="24"/>
          <w:lang w:val="en-US"/>
        </w:rPr>
        <w:lastRenderedPageBreak/>
        <w:t xml:space="preserve">co-developer and a company responsible for </w:t>
      </w:r>
      <w:r w:rsidR="006057B1" w:rsidRPr="00275018">
        <w:rPr>
          <w:rFonts w:ascii="Tahoma" w:hAnsi="Tahoma" w:cs="Tahoma"/>
          <w:color w:val="000000" w:themeColor="text1"/>
          <w:sz w:val="24"/>
          <w:szCs w:val="24"/>
          <w:lang w:val="en-US"/>
        </w:rPr>
        <w:t xml:space="preserve">the </w:t>
      </w:r>
      <w:r w:rsidR="00FA1102" w:rsidRPr="00275018">
        <w:rPr>
          <w:rFonts w:ascii="Tahoma" w:hAnsi="Tahoma" w:cs="Tahoma"/>
          <w:color w:val="000000" w:themeColor="text1"/>
          <w:sz w:val="24"/>
          <w:szCs w:val="24"/>
          <w:lang w:val="en-US"/>
        </w:rPr>
        <w:t>project</w:t>
      </w:r>
      <w:r w:rsidR="006057B1" w:rsidRPr="00275018">
        <w:rPr>
          <w:rFonts w:ascii="Tahoma" w:hAnsi="Tahoma" w:cs="Tahoma"/>
          <w:color w:val="000000" w:themeColor="text1"/>
          <w:sz w:val="24"/>
          <w:szCs w:val="24"/>
          <w:lang w:val="en-US"/>
        </w:rPr>
        <w:t>’s</w:t>
      </w:r>
      <w:r w:rsidR="00FA1102" w:rsidRPr="00275018">
        <w:rPr>
          <w:rFonts w:ascii="Tahoma" w:hAnsi="Tahoma" w:cs="Tahoma"/>
          <w:color w:val="000000" w:themeColor="text1"/>
          <w:sz w:val="24"/>
          <w:szCs w:val="24"/>
          <w:lang w:val="en-US"/>
        </w:rPr>
        <w:t xml:space="preserve"> results implementation in Russia and </w:t>
      </w:r>
      <w:r w:rsidR="006057B1" w:rsidRPr="00275018">
        <w:rPr>
          <w:rFonts w:ascii="Tahoma" w:hAnsi="Tahoma" w:cs="Tahoma"/>
          <w:color w:val="000000" w:themeColor="text1"/>
          <w:sz w:val="24"/>
          <w:szCs w:val="24"/>
          <w:lang w:val="en-US"/>
        </w:rPr>
        <w:t>on the worldwide market</w:t>
      </w:r>
      <w:r w:rsidR="00FA1102" w:rsidRPr="00275018">
        <w:rPr>
          <w:rFonts w:ascii="Tahoma" w:hAnsi="Tahoma" w:cs="Tahoma"/>
          <w:color w:val="000000" w:themeColor="text1"/>
          <w:sz w:val="24"/>
          <w:szCs w:val="24"/>
          <w:lang w:val="en-US"/>
        </w:rPr>
        <w:t>.</w:t>
      </w:r>
    </w:p>
    <w:p w14:paraId="7D6E4D14" w14:textId="0F85F0F7" w:rsidR="0098275A" w:rsidRPr="00275018" w:rsidRDefault="00E64792" w:rsidP="00457C0A">
      <w:pPr>
        <w:ind w:firstLine="708"/>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The data below represent</w:t>
      </w:r>
      <w:r w:rsidR="0098275A" w:rsidRPr="00275018">
        <w:rPr>
          <w:rFonts w:ascii="Tahoma" w:hAnsi="Tahoma" w:cs="Tahoma"/>
          <w:color w:val="000000" w:themeColor="text1"/>
          <w:sz w:val="24"/>
          <w:szCs w:val="24"/>
          <w:lang w:val="en-US"/>
        </w:rPr>
        <w:t xml:space="preserve"> average rates of yield increase after biomineral fertilizers application compared to the traditional mineral </w:t>
      </w:r>
      <w:r w:rsidR="007C3BFA" w:rsidRPr="00275018">
        <w:rPr>
          <w:rFonts w:ascii="Tahoma" w:hAnsi="Tahoma" w:cs="Tahoma"/>
          <w:color w:val="000000" w:themeColor="text1"/>
          <w:sz w:val="24"/>
          <w:szCs w:val="24"/>
          <w:lang w:val="en-US"/>
        </w:rPr>
        <w:t>fertilizers (</w:t>
      </w:r>
      <w:r w:rsidR="0098275A" w:rsidRPr="00275018">
        <w:rPr>
          <w:rFonts w:ascii="Tahoma" w:hAnsi="Tahoma" w:cs="Tahoma"/>
          <w:color w:val="000000" w:themeColor="text1"/>
          <w:sz w:val="24"/>
          <w:szCs w:val="24"/>
          <w:lang w:val="en-US"/>
        </w:rPr>
        <w:t>equivalent application rate)</w:t>
      </w:r>
    </w:p>
    <w:p w14:paraId="2079EA6E" w14:textId="4FB0A05B" w:rsidR="004B1F9A" w:rsidRPr="00275018" w:rsidRDefault="004B1F9A" w:rsidP="004B1F9A">
      <w:pPr>
        <w:jc w:val="center"/>
        <w:rPr>
          <w:rFonts w:ascii="Tahoma" w:hAnsi="Tahoma" w:cs="Tahoma"/>
          <w:b/>
          <w:color w:val="000000" w:themeColor="text1"/>
          <w:sz w:val="28"/>
          <w:szCs w:val="28"/>
          <w:lang w:val="en-US"/>
        </w:rPr>
      </w:pPr>
      <w:r w:rsidRPr="00275018">
        <w:rPr>
          <w:rFonts w:ascii="Tahoma" w:hAnsi="Tahoma" w:cs="Tahoma"/>
          <w:b/>
          <w:color w:val="000000" w:themeColor="text1"/>
          <w:sz w:val="28"/>
          <w:szCs w:val="28"/>
          <w:lang w:val="en-US"/>
        </w:rPr>
        <w:t xml:space="preserve">Indicators of yield increases of existing and developed solutions in comparison with traditional mineral </w:t>
      </w:r>
      <w:proofErr w:type="gramStart"/>
      <w:r w:rsidRPr="00275018">
        <w:rPr>
          <w:rFonts w:ascii="Tahoma" w:hAnsi="Tahoma" w:cs="Tahoma"/>
          <w:b/>
          <w:color w:val="000000" w:themeColor="text1"/>
          <w:sz w:val="28"/>
          <w:szCs w:val="28"/>
          <w:lang w:val="en-US"/>
        </w:rPr>
        <w:t>fertilizers</w:t>
      </w:r>
      <w:proofErr w:type="gramEnd"/>
    </w:p>
    <w:tbl>
      <w:tblPr>
        <w:tblW w:w="9498" w:type="dxa"/>
        <w:tblInd w:w="108" w:type="dxa"/>
        <w:tblLayout w:type="fixed"/>
        <w:tblCellMar>
          <w:left w:w="0" w:type="dxa"/>
          <w:right w:w="0" w:type="dxa"/>
        </w:tblCellMar>
        <w:tblLook w:val="0600" w:firstRow="0" w:lastRow="0" w:firstColumn="0" w:lastColumn="0" w:noHBand="1" w:noVBand="1"/>
      </w:tblPr>
      <w:tblGrid>
        <w:gridCol w:w="1418"/>
        <w:gridCol w:w="1276"/>
        <w:gridCol w:w="1467"/>
        <w:gridCol w:w="1309"/>
        <w:gridCol w:w="1334"/>
        <w:gridCol w:w="1418"/>
        <w:gridCol w:w="1276"/>
      </w:tblGrid>
      <w:tr w:rsidR="00275018" w:rsidRPr="00275018" w14:paraId="7E20A6BE" w14:textId="77777777" w:rsidTr="008C0608">
        <w:trPr>
          <w:trHeight w:val="853"/>
        </w:trPr>
        <w:tc>
          <w:tcPr>
            <w:tcW w:w="1418" w:type="dxa"/>
            <w:vMerge w:val="restart"/>
            <w:tcBorders>
              <w:top w:val="single" w:sz="18" w:space="0" w:color="FFFFFF"/>
              <w:left w:val="single" w:sz="18" w:space="0" w:color="FFFFFF"/>
              <w:bottom w:val="single" w:sz="18" w:space="0" w:color="FFFFFF"/>
              <w:right w:val="single" w:sz="18" w:space="0" w:color="FFFFFF"/>
            </w:tcBorders>
            <w:shd w:val="clear" w:color="auto" w:fill="92D050"/>
            <w:tcMar>
              <w:top w:w="15" w:type="dxa"/>
              <w:left w:w="108" w:type="dxa"/>
              <w:bottom w:w="0" w:type="dxa"/>
              <w:right w:w="108" w:type="dxa"/>
            </w:tcMar>
            <w:vAlign w:val="center"/>
            <w:hideMark/>
          </w:tcPr>
          <w:p w14:paraId="2430E8A4" w14:textId="3A0EA5FB" w:rsidR="00900051" w:rsidRPr="00275018" w:rsidRDefault="00897B6D" w:rsidP="00CC4D5E">
            <w:pPr>
              <w:jc w:val="both"/>
              <w:rPr>
                <w:rFonts w:ascii="Tahoma" w:hAnsi="Tahoma" w:cs="Tahoma"/>
                <w:color w:val="000000" w:themeColor="text1"/>
                <w:sz w:val="20"/>
                <w:szCs w:val="20"/>
                <w:lang w:val="en-US"/>
              </w:rPr>
            </w:pPr>
            <w:r w:rsidRPr="00275018">
              <w:rPr>
                <w:rFonts w:ascii="Tahoma" w:hAnsi="Tahoma" w:cs="Tahoma"/>
                <w:b/>
                <w:bCs/>
                <w:color w:val="000000" w:themeColor="text1"/>
                <w:sz w:val="20"/>
                <w:szCs w:val="20"/>
                <w:lang w:val="en-US"/>
              </w:rPr>
              <w:t xml:space="preserve">Type of </w:t>
            </w:r>
            <w:r w:rsidR="00E64792" w:rsidRPr="00275018">
              <w:rPr>
                <w:rFonts w:ascii="Tahoma" w:hAnsi="Tahoma" w:cs="Tahoma"/>
                <w:b/>
                <w:bCs/>
                <w:color w:val="000000" w:themeColor="text1"/>
                <w:sz w:val="20"/>
                <w:szCs w:val="20"/>
                <w:lang w:val="en-US"/>
              </w:rPr>
              <w:t>biomineral fertilizer</w:t>
            </w:r>
          </w:p>
        </w:tc>
        <w:tc>
          <w:tcPr>
            <w:tcW w:w="2743" w:type="dxa"/>
            <w:gridSpan w:val="2"/>
            <w:tcBorders>
              <w:top w:val="single" w:sz="18" w:space="0" w:color="FFFFFF"/>
              <w:left w:val="single" w:sz="18" w:space="0" w:color="FFFFFF"/>
              <w:bottom w:val="single" w:sz="18" w:space="0" w:color="FFFFFF"/>
              <w:right w:val="single" w:sz="18" w:space="0" w:color="FFFFFF"/>
            </w:tcBorders>
            <w:shd w:val="clear" w:color="auto" w:fill="92D050"/>
            <w:tcMar>
              <w:top w:w="15" w:type="dxa"/>
              <w:left w:w="108" w:type="dxa"/>
              <w:bottom w:w="0" w:type="dxa"/>
              <w:right w:w="108" w:type="dxa"/>
            </w:tcMar>
            <w:vAlign w:val="center"/>
            <w:hideMark/>
          </w:tcPr>
          <w:p w14:paraId="0359A6A9" w14:textId="1D68E8DC" w:rsidR="00900051" w:rsidRPr="00275018" w:rsidRDefault="007C3BFA" w:rsidP="00CC4D5E">
            <w:pPr>
              <w:jc w:val="both"/>
              <w:rPr>
                <w:rFonts w:ascii="Tahoma" w:hAnsi="Tahoma" w:cs="Tahoma"/>
                <w:color w:val="000000" w:themeColor="text1"/>
                <w:sz w:val="20"/>
                <w:szCs w:val="20"/>
                <w:lang w:val="en-US"/>
              </w:rPr>
            </w:pPr>
            <w:r w:rsidRPr="00275018">
              <w:rPr>
                <w:rFonts w:ascii="Tahoma" w:hAnsi="Tahoma" w:cs="Tahoma"/>
                <w:b/>
                <w:bCs/>
                <w:color w:val="000000" w:themeColor="text1"/>
                <w:sz w:val="20"/>
                <w:szCs w:val="20"/>
                <w:lang w:val="en-US"/>
              </w:rPr>
              <w:t>Nitrogen fertilizers</w:t>
            </w:r>
          </w:p>
        </w:tc>
        <w:tc>
          <w:tcPr>
            <w:tcW w:w="2643" w:type="dxa"/>
            <w:gridSpan w:val="2"/>
            <w:tcBorders>
              <w:top w:val="single" w:sz="18" w:space="0" w:color="FFFFFF"/>
              <w:left w:val="single" w:sz="18" w:space="0" w:color="FFFFFF"/>
              <w:bottom w:val="single" w:sz="18" w:space="0" w:color="FFFFFF"/>
              <w:right w:val="single" w:sz="18" w:space="0" w:color="FFFFFF"/>
            </w:tcBorders>
            <w:shd w:val="clear" w:color="auto" w:fill="92D050"/>
            <w:tcMar>
              <w:top w:w="15" w:type="dxa"/>
              <w:left w:w="108" w:type="dxa"/>
              <w:bottom w:w="0" w:type="dxa"/>
              <w:right w:w="108" w:type="dxa"/>
            </w:tcMar>
            <w:vAlign w:val="center"/>
            <w:hideMark/>
          </w:tcPr>
          <w:p w14:paraId="215B5506" w14:textId="1788C695" w:rsidR="00900051" w:rsidRPr="00275018" w:rsidRDefault="007C3BFA" w:rsidP="00CC4D5E">
            <w:pPr>
              <w:jc w:val="both"/>
              <w:rPr>
                <w:rFonts w:ascii="Tahoma" w:hAnsi="Tahoma" w:cs="Tahoma"/>
                <w:color w:val="000000" w:themeColor="text1"/>
                <w:sz w:val="20"/>
                <w:szCs w:val="20"/>
              </w:rPr>
            </w:pPr>
            <w:r w:rsidRPr="00275018">
              <w:rPr>
                <w:rFonts w:ascii="Tahoma" w:hAnsi="Tahoma" w:cs="Tahoma"/>
                <w:b/>
                <w:bCs/>
                <w:color w:val="000000" w:themeColor="text1"/>
                <w:sz w:val="20"/>
                <w:szCs w:val="20"/>
                <w:lang w:val="en-US"/>
              </w:rPr>
              <w:t>Phosphorous fertilizers</w:t>
            </w:r>
            <w:r w:rsidR="00CC4D5E" w:rsidRPr="00275018">
              <w:rPr>
                <w:rFonts w:ascii="Tahoma" w:hAnsi="Tahoma" w:cs="Tahoma"/>
                <w:b/>
                <w:bCs/>
                <w:color w:val="000000" w:themeColor="text1"/>
                <w:sz w:val="20"/>
                <w:szCs w:val="20"/>
              </w:rPr>
              <w:t xml:space="preserve"> </w:t>
            </w:r>
          </w:p>
        </w:tc>
        <w:tc>
          <w:tcPr>
            <w:tcW w:w="2694" w:type="dxa"/>
            <w:gridSpan w:val="2"/>
            <w:tcBorders>
              <w:top w:val="single" w:sz="18" w:space="0" w:color="FFFFFF"/>
              <w:left w:val="single" w:sz="18" w:space="0" w:color="FFFFFF"/>
              <w:bottom w:val="single" w:sz="18" w:space="0" w:color="FFFFFF"/>
              <w:right w:val="single" w:sz="18" w:space="0" w:color="FFFFFF"/>
            </w:tcBorders>
            <w:shd w:val="clear" w:color="auto" w:fill="92D050"/>
            <w:tcMar>
              <w:top w:w="15" w:type="dxa"/>
              <w:left w:w="108" w:type="dxa"/>
              <w:bottom w:w="0" w:type="dxa"/>
              <w:right w:w="108" w:type="dxa"/>
            </w:tcMar>
            <w:vAlign w:val="center"/>
            <w:hideMark/>
          </w:tcPr>
          <w:p w14:paraId="47D9806D" w14:textId="4EA7B261" w:rsidR="007C3BFA" w:rsidRPr="00275018" w:rsidRDefault="004B1F9A" w:rsidP="004B1F9A">
            <w:pPr>
              <w:jc w:val="both"/>
              <w:rPr>
                <w:rFonts w:ascii="Tahoma" w:hAnsi="Tahoma" w:cs="Tahoma"/>
                <w:color w:val="000000" w:themeColor="text1"/>
                <w:sz w:val="20"/>
                <w:szCs w:val="20"/>
                <w:lang w:val="en-US"/>
              </w:rPr>
            </w:pPr>
            <w:r w:rsidRPr="00275018">
              <w:rPr>
                <w:rFonts w:ascii="Tahoma" w:hAnsi="Tahoma" w:cs="Tahoma"/>
                <w:b/>
                <w:bCs/>
                <w:color w:val="000000" w:themeColor="text1"/>
                <w:sz w:val="20"/>
                <w:szCs w:val="20"/>
                <w:lang w:val="en-US"/>
              </w:rPr>
              <w:t>NPK</w:t>
            </w:r>
          </w:p>
        </w:tc>
      </w:tr>
      <w:tr w:rsidR="00275018" w:rsidRPr="00275018" w14:paraId="4EA0F99F" w14:textId="77777777" w:rsidTr="009D3E1E">
        <w:trPr>
          <w:trHeight w:val="1505"/>
        </w:trPr>
        <w:tc>
          <w:tcPr>
            <w:tcW w:w="1418" w:type="dxa"/>
            <w:vMerge/>
            <w:tcBorders>
              <w:top w:val="single" w:sz="18" w:space="0" w:color="FFFFFF"/>
              <w:left w:val="single" w:sz="18" w:space="0" w:color="FFFFFF"/>
              <w:bottom w:val="single" w:sz="18" w:space="0" w:color="FFFFFF"/>
              <w:right w:val="single" w:sz="18" w:space="0" w:color="FFFFFF"/>
            </w:tcBorders>
            <w:vAlign w:val="center"/>
            <w:hideMark/>
          </w:tcPr>
          <w:p w14:paraId="45A9BC5C" w14:textId="77777777" w:rsidR="004B1F9A" w:rsidRPr="00275018" w:rsidRDefault="004B1F9A" w:rsidP="004B1F9A">
            <w:pPr>
              <w:jc w:val="both"/>
              <w:rPr>
                <w:rFonts w:ascii="Tahoma" w:hAnsi="Tahoma" w:cs="Tahoma"/>
                <w:color w:val="000000" w:themeColor="text1"/>
                <w:sz w:val="16"/>
                <w:szCs w:val="16"/>
              </w:rPr>
            </w:pPr>
          </w:p>
        </w:tc>
        <w:tc>
          <w:tcPr>
            <w:tcW w:w="1276" w:type="dxa"/>
            <w:tcBorders>
              <w:top w:val="single" w:sz="18" w:space="0" w:color="FFFFFF"/>
              <w:left w:val="single" w:sz="18" w:space="0" w:color="FFFFFF"/>
              <w:bottom w:val="single" w:sz="18" w:space="0" w:color="FFFFFF"/>
              <w:right w:val="single" w:sz="18" w:space="0" w:color="FFFFFF"/>
            </w:tcBorders>
            <w:shd w:val="clear" w:color="auto" w:fill="92D050"/>
            <w:tcMar>
              <w:top w:w="15" w:type="dxa"/>
              <w:left w:w="108" w:type="dxa"/>
              <w:bottom w:w="0" w:type="dxa"/>
              <w:right w:w="108" w:type="dxa"/>
            </w:tcMar>
            <w:hideMark/>
          </w:tcPr>
          <w:p w14:paraId="54E99740" w14:textId="77777777" w:rsidR="004B1F9A" w:rsidRPr="00275018" w:rsidRDefault="004B1F9A" w:rsidP="004B1F9A">
            <w:pPr>
              <w:jc w:val="both"/>
              <w:rPr>
                <w:rFonts w:ascii="Tahoma" w:hAnsi="Tahoma" w:cs="Tahoma"/>
                <w:color w:val="000000" w:themeColor="text1"/>
                <w:sz w:val="20"/>
                <w:szCs w:val="20"/>
                <w:lang w:val="en-US"/>
              </w:rPr>
            </w:pPr>
            <w:r w:rsidRPr="00275018">
              <w:rPr>
                <w:rFonts w:ascii="Tahoma" w:hAnsi="Tahoma" w:cs="Tahoma"/>
                <w:color w:val="000000" w:themeColor="text1"/>
                <w:sz w:val="20"/>
                <w:szCs w:val="20"/>
                <w:lang w:val="en-US"/>
              </w:rPr>
              <w:t xml:space="preserve">Existing technology </w:t>
            </w:r>
          </w:p>
          <w:p w14:paraId="1BAC00A6" w14:textId="205C4AD1" w:rsidR="004B1F9A" w:rsidRPr="00275018" w:rsidRDefault="004B1F9A" w:rsidP="004B1F9A">
            <w:pPr>
              <w:jc w:val="both"/>
              <w:rPr>
                <w:rFonts w:ascii="Tahoma" w:hAnsi="Tahoma" w:cs="Tahoma"/>
                <w:color w:val="000000" w:themeColor="text1"/>
                <w:sz w:val="20"/>
                <w:szCs w:val="20"/>
                <w:lang w:val="en-US"/>
              </w:rPr>
            </w:pPr>
            <w:r w:rsidRPr="00275018">
              <w:rPr>
                <w:rFonts w:ascii="Tahoma" w:hAnsi="Tahoma" w:cs="Tahoma"/>
                <w:color w:val="000000" w:themeColor="text1"/>
                <w:sz w:val="20"/>
                <w:szCs w:val="20"/>
                <w:lang w:val="en-US"/>
              </w:rPr>
              <w:t>(Bisolbifit)</w:t>
            </w:r>
          </w:p>
        </w:tc>
        <w:tc>
          <w:tcPr>
            <w:tcW w:w="1467" w:type="dxa"/>
            <w:tcBorders>
              <w:top w:val="single" w:sz="18" w:space="0" w:color="FFFFFF"/>
              <w:left w:val="single" w:sz="18" w:space="0" w:color="FFFFFF"/>
              <w:bottom w:val="single" w:sz="18" w:space="0" w:color="FFFFFF"/>
              <w:right w:val="single" w:sz="18" w:space="0" w:color="FFFFFF"/>
            </w:tcBorders>
            <w:shd w:val="clear" w:color="auto" w:fill="92D050"/>
            <w:tcMar>
              <w:top w:w="15" w:type="dxa"/>
              <w:left w:w="108" w:type="dxa"/>
              <w:bottom w:w="0" w:type="dxa"/>
              <w:right w:w="108" w:type="dxa"/>
            </w:tcMar>
            <w:hideMark/>
          </w:tcPr>
          <w:p w14:paraId="2FD4B09F" w14:textId="77777777" w:rsidR="004B1F9A" w:rsidRPr="00275018" w:rsidRDefault="004B1F9A" w:rsidP="004B1F9A">
            <w:pPr>
              <w:jc w:val="both"/>
              <w:rPr>
                <w:rFonts w:ascii="Tahoma" w:hAnsi="Tahoma" w:cs="Tahoma"/>
                <w:color w:val="000000" w:themeColor="text1"/>
                <w:sz w:val="20"/>
                <w:szCs w:val="20"/>
                <w:lang w:val="en-US"/>
              </w:rPr>
            </w:pPr>
            <w:r w:rsidRPr="00275018">
              <w:rPr>
                <w:rFonts w:ascii="Tahoma" w:hAnsi="Tahoma" w:cs="Tahoma"/>
                <w:color w:val="000000" w:themeColor="text1"/>
                <w:sz w:val="20"/>
                <w:szCs w:val="20"/>
                <w:lang w:val="en-US"/>
              </w:rPr>
              <w:t xml:space="preserve">New </w:t>
            </w:r>
            <w:proofErr w:type="spellStart"/>
            <w:r w:rsidRPr="00275018">
              <w:rPr>
                <w:rFonts w:ascii="Tahoma" w:hAnsi="Tahoma" w:cs="Tahoma"/>
                <w:color w:val="000000" w:themeColor="text1"/>
                <w:sz w:val="20"/>
                <w:szCs w:val="20"/>
                <w:lang w:val="en-US"/>
              </w:rPr>
              <w:t>biomodifier</w:t>
            </w:r>
            <w:proofErr w:type="spellEnd"/>
          </w:p>
          <w:p w14:paraId="30A19102" w14:textId="0D88A03A" w:rsidR="004B1F9A" w:rsidRPr="00275018" w:rsidRDefault="004B1F9A" w:rsidP="004B1F9A">
            <w:pPr>
              <w:jc w:val="both"/>
              <w:rPr>
                <w:rFonts w:ascii="Tahoma" w:hAnsi="Tahoma" w:cs="Tahoma"/>
                <w:color w:val="000000" w:themeColor="text1"/>
                <w:sz w:val="20"/>
                <w:szCs w:val="20"/>
                <w:lang w:val="en-US"/>
              </w:rPr>
            </w:pPr>
            <w:r w:rsidRPr="00275018">
              <w:rPr>
                <w:rFonts w:ascii="Tahoma" w:hAnsi="Tahoma" w:cs="Tahoma"/>
                <w:color w:val="000000" w:themeColor="text1"/>
                <w:sz w:val="20"/>
                <w:szCs w:val="20"/>
                <w:lang w:val="en-US"/>
              </w:rPr>
              <w:t>BMN</w:t>
            </w:r>
          </w:p>
        </w:tc>
        <w:tc>
          <w:tcPr>
            <w:tcW w:w="1309" w:type="dxa"/>
            <w:tcBorders>
              <w:top w:val="single" w:sz="18" w:space="0" w:color="FFFFFF"/>
              <w:left w:val="single" w:sz="18" w:space="0" w:color="FFFFFF"/>
              <w:bottom w:val="single" w:sz="18" w:space="0" w:color="FFFFFF"/>
              <w:right w:val="single" w:sz="18" w:space="0" w:color="FFFFFF"/>
            </w:tcBorders>
            <w:shd w:val="clear" w:color="auto" w:fill="92D050"/>
            <w:tcMar>
              <w:top w:w="15" w:type="dxa"/>
              <w:left w:w="108" w:type="dxa"/>
              <w:bottom w:w="0" w:type="dxa"/>
              <w:right w:w="108" w:type="dxa"/>
            </w:tcMar>
            <w:hideMark/>
          </w:tcPr>
          <w:p w14:paraId="7C836169" w14:textId="77777777" w:rsidR="004B1F9A" w:rsidRPr="00275018" w:rsidRDefault="004B1F9A" w:rsidP="004B1F9A">
            <w:pPr>
              <w:jc w:val="both"/>
              <w:rPr>
                <w:rFonts w:ascii="Tahoma" w:hAnsi="Tahoma" w:cs="Tahoma"/>
                <w:color w:val="000000" w:themeColor="text1"/>
                <w:sz w:val="20"/>
                <w:szCs w:val="20"/>
                <w:lang w:val="en-US"/>
              </w:rPr>
            </w:pPr>
            <w:r w:rsidRPr="00275018">
              <w:rPr>
                <w:rFonts w:ascii="Tahoma" w:hAnsi="Tahoma" w:cs="Tahoma"/>
                <w:color w:val="000000" w:themeColor="text1"/>
                <w:sz w:val="20"/>
                <w:szCs w:val="20"/>
                <w:lang w:val="en-US"/>
              </w:rPr>
              <w:t xml:space="preserve">Existing technology </w:t>
            </w:r>
          </w:p>
          <w:p w14:paraId="4144D61D" w14:textId="573CFA2C" w:rsidR="004B1F9A" w:rsidRPr="00275018" w:rsidRDefault="004B1F9A" w:rsidP="004B1F9A">
            <w:pPr>
              <w:jc w:val="both"/>
              <w:rPr>
                <w:rFonts w:ascii="Tahoma" w:hAnsi="Tahoma" w:cs="Tahoma"/>
                <w:color w:val="000000" w:themeColor="text1"/>
                <w:sz w:val="20"/>
                <w:szCs w:val="20"/>
                <w:lang w:val="en-US"/>
              </w:rPr>
            </w:pPr>
            <w:r w:rsidRPr="00275018">
              <w:rPr>
                <w:rFonts w:ascii="Tahoma" w:hAnsi="Tahoma" w:cs="Tahoma"/>
                <w:color w:val="000000" w:themeColor="text1"/>
                <w:sz w:val="20"/>
                <w:szCs w:val="20"/>
                <w:lang w:val="en-US"/>
              </w:rPr>
              <w:t>(Bisolbifit)</w:t>
            </w:r>
          </w:p>
        </w:tc>
        <w:tc>
          <w:tcPr>
            <w:tcW w:w="1334" w:type="dxa"/>
            <w:tcBorders>
              <w:top w:val="single" w:sz="18" w:space="0" w:color="FFFFFF"/>
              <w:left w:val="single" w:sz="18" w:space="0" w:color="FFFFFF"/>
              <w:bottom w:val="single" w:sz="18" w:space="0" w:color="FFFFFF"/>
              <w:right w:val="single" w:sz="18" w:space="0" w:color="FFFFFF"/>
            </w:tcBorders>
            <w:shd w:val="clear" w:color="auto" w:fill="92D050"/>
            <w:tcMar>
              <w:top w:w="15" w:type="dxa"/>
              <w:left w:w="108" w:type="dxa"/>
              <w:bottom w:w="0" w:type="dxa"/>
              <w:right w:w="108" w:type="dxa"/>
            </w:tcMar>
            <w:hideMark/>
          </w:tcPr>
          <w:p w14:paraId="56D4E705" w14:textId="77777777" w:rsidR="004B1F9A" w:rsidRPr="00275018" w:rsidRDefault="004B1F9A" w:rsidP="004B1F9A">
            <w:pPr>
              <w:jc w:val="both"/>
              <w:rPr>
                <w:rFonts w:ascii="Tahoma" w:hAnsi="Tahoma" w:cs="Tahoma"/>
                <w:color w:val="000000" w:themeColor="text1"/>
                <w:sz w:val="20"/>
                <w:szCs w:val="20"/>
                <w:lang w:val="en-US"/>
              </w:rPr>
            </w:pPr>
            <w:r w:rsidRPr="00275018">
              <w:rPr>
                <w:rFonts w:ascii="Tahoma" w:hAnsi="Tahoma" w:cs="Tahoma"/>
                <w:color w:val="000000" w:themeColor="text1"/>
                <w:sz w:val="20"/>
                <w:szCs w:val="20"/>
                <w:lang w:val="en-US"/>
              </w:rPr>
              <w:t xml:space="preserve">New </w:t>
            </w:r>
            <w:proofErr w:type="spellStart"/>
            <w:r w:rsidRPr="00275018">
              <w:rPr>
                <w:rFonts w:ascii="Tahoma" w:hAnsi="Tahoma" w:cs="Tahoma"/>
                <w:color w:val="000000" w:themeColor="text1"/>
                <w:sz w:val="20"/>
                <w:szCs w:val="20"/>
                <w:lang w:val="en-US"/>
              </w:rPr>
              <w:t>biomodifier</w:t>
            </w:r>
            <w:proofErr w:type="spellEnd"/>
          </w:p>
          <w:p w14:paraId="08D6EEF4" w14:textId="40AF81F5" w:rsidR="004B1F9A" w:rsidRPr="00275018" w:rsidRDefault="004B1F9A" w:rsidP="004B1F9A">
            <w:pPr>
              <w:jc w:val="both"/>
              <w:rPr>
                <w:rFonts w:ascii="Tahoma" w:hAnsi="Tahoma" w:cs="Tahoma"/>
                <w:color w:val="000000" w:themeColor="text1"/>
                <w:sz w:val="20"/>
                <w:szCs w:val="20"/>
                <w:lang w:val="en-US"/>
              </w:rPr>
            </w:pPr>
            <w:r w:rsidRPr="00275018">
              <w:rPr>
                <w:rFonts w:ascii="Tahoma" w:hAnsi="Tahoma" w:cs="Tahoma"/>
                <w:color w:val="000000" w:themeColor="text1"/>
                <w:sz w:val="20"/>
                <w:szCs w:val="20"/>
                <w:lang w:val="en-US"/>
              </w:rPr>
              <w:t>BMP</w:t>
            </w:r>
          </w:p>
        </w:tc>
        <w:tc>
          <w:tcPr>
            <w:tcW w:w="1418" w:type="dxa"/>
            <w:tcBorders>
              <w:top w:val="single" w:sz="18" w:space="0" w:color="FFFFFF"/>
              <w:left w:val="single" w:sz="18" w:space="0" w:color="FFFFFF"/>
              <w:bottom w:val="single" w:sz="18" w:space="0" w:color="FFFFFF"/>
              <w:right w:val="single" w:sz="18" w:space="0" w:color="FFFFFF"/>
            </w:tcBorders>
            <w:shd w:val="clear" w:color="auto" w:fill="92D050"/>
            <w:tcMar>
              <w:top w:w="15" w:type="dxa"/>
              <w:left w:w="108" w:type="dxa"/>
              <w:bottom w:w="0" w:type="dxa"/>
              <w:right w:w="108" w:type="dxa"/>
            </w:tcMar>
            <w:hideMark/>
          </w:tcPr>
          <w:p w14:paraId="5C3E554A" w14:textId="77777777" w:rsidR="004B1F9A" w:rsidRPr="00275018" w:rsidRDefault="004B1F9A" w:rsidP="004B1F9A">
            <w:pPr>
              <w:jc w:val="both"/>
              <w:rPr>
                <w:rFonts w:ascii="Tahoma" w:hAnsi="Tahoma" w:cs="Tahoma"/>
                <w:color w:val="000000" w:themeColor="text1"/>
                <w:sz w:val="20"/>
                <w:szCs w:val="20"/>
                <w:lang w:val="en-US"/>
              </w:rPr>
            </w:pPr>
            <w:r w:rsidRPr="00275018">
              <w:rPr>
                <w:rFonts w:ascii="Tahoma" w:hAnsi="Tahoma" w:cs="Tahoma"/>
                <w:color w:val="000000" w:themeColor="text1"/>
                <w:sz w:val="20"/>
                <w:szCs w:val="20"/>
                <w:lang w:val="en-US"/>
              </w:rPr>
              <w:t xml:space="preserve">Existing technology </w:t>
            </w:r>
          </w:p>
          <w:p w14:paraId="3899C701" w14:textId="5E5AE859" w:rsidR="004B1F9A" w:rsidRPr="00275018" w:rsidRDefault="004B1F9A" w:rsidP="004B1F9A">
            <w:pPr>
              <w:jc w:val="both"/>
              <w:rPr>
                <w:rFonts w:ascii="Tahoma" w:hAnsi="Tahoma" w:cs="Tahoma"/>
                <w:color w:val="000000" w:themeColor="text1"/>
                <w:sz w:val="20"/>
                <w:szCs w:val="20"/>
              </w:rPr>
            </w:pPr>
            <w:r w:rsidRPr="00275018">
              <w:rPr>
                <w:rFonts w:ascii="Tahoma" w:hAnsi="Tahoma" w:cs="Tahoma"/>
                <w:color w:val="000000" w:themeColor="text1"/>
                <w:sz w:val="20"/>
                <w:szCs w:val="20"/>
                <w:lang w:val="en-US"/>
              </w:rPr>
              <w:t>(Bisolbifit)</w:t>
            </w:r>
          </w:p>
        </w:tc>
        <w:tc>
          <w:tcPr>
            <w:tcW w:w="1276" w:type="dxa"/>
            <w:tcBorders>
              <w:top w:val="single" w:sz="18" w:space="0" w:color="FFFFFF"/>
              <w:left w:val="single" w:sz="18" w:space="0" w:color="FFFFFF"/>
              <w:bottom w:val="single" w:sz="18" w:space="0" w:color="FFFFFF"/>
              <w:right w:val="single" w:sz="18" w:space="0" w:color="FFFFFF"/>
            </w:tcBorders>
            <w:shd w:val="clear" w:color="auto" w:fill="92D050"/>
            <w:tcMar>
              <w:top w:w="15" w:type="dxa"/>
              <w:left w:w="108" w:type="dxa"/>
              <w:bottom w:w="0" w:type="dxa"/>
              <w:right w:w="108" w:type="dxa"/>
            </w:tcMar>
            <w:hideMark/>
          </w:tcPr>
          <w:p w14:paraId="4913BBFB" w14:textId="77777777" w:rsidR="004B1F9A" w:rsidRPr="00275018" w:rsidRDefault="004B1F9A" w:rsidP="004B1F9A">
            <w:pPr>
              <w:jc w:val="both"/>
              <w:rPr>
                <w:rFonts w:ascii="Tahoma" w:hAnsi="Tahoma" w:cs="Tahoma"/>
                <w:color w:val="000000" w:themeColor="text1"/>
                <w:sz w:val="20"/>
                <w:szCs w:val="20"/>
                <w:lang w:val="en-US"/>
              </w:rPr>
            </w:pPr>
            <w:r w:rsidRPr="00275018">
              <w:rPr>
                <w:rFonts w:ascii="Tahoma" w:hAnsi="Tahoma" w:cs="Tahoma"/>
                <w:color w:val="000000" w:themeColor="text1"/>
                <w:sz w:val="20"/>
                <w:szCs w:val="20"/>
                <w:lang w:val="en-US"/>
              </w:rPr>
              <w:t xml:space="preserve">New </w:t>
            </w:r>
            <w:proofErr w:type="spellStart"/>
            <w:r w:rsidRPr="00275018">
              <w:rPr>
                <w:rFonts w:ascii="Tahoma" w:hAnsi="Tahoma" w:cs="Tahoma"/>
                <w:color w:val="000000" w:themeColor="text1"/>
                <w:sz w:val="20"/>
                <w:szCs w:val="20"/>
                <w:lang w:val="en-US"/>
              </w:rPr>
              <w:t>biomodifier</w:t>
            </w:r>
            <w:proofErr w:type="spellEnd"/>
          </w:p>
          <w:p w14:paraId="7E744C53" w14:textId="151F56F7" w:rsidR="004B1F9A" w:rsidRPr="00275018" w:rsidRDefault="004B1F9A" w:rsidP="004B1F9A">
            <w:pPr>
              <w:jc w:val="both"/>
              <w:rPr>
                <w:rFonts w:ascii="Tahoma" w:hAnsi="Tahoma" w:cs="Tahoma"/>
                <w:color w:val="000000" w:themeColor="text1"/>
                <w:sz w:val="20"/>
                <w:szCs w:val="20"/>
              </w:rPr>
            </w:pPr>
            <w:r w:rsidRPr="00275018">
              <w:rPr>
                <w:rFonts w:ascii="Tahoma" w:hAnsi="Tahoma" w:cs="Tahoma"/>
                <w:color w:val="000000" w:themeColor="text1"/>
                <w:sz w:val="20"/>
                <w:szCs w:val="20"/>
                <w:lang w:val="en-US"/>
              </w:rPr>
              <w:t>BMK</w:t>
            </w:r>
          </w:p>
        </w:tc>
      </w:tr>
      <w:tr w:rsidR="00275018" w:rsidRPr="00275018" w14:paraId="14BA9520" w14:textId="77777777" w:rsidTr="009D3E1E">
        <w:trPr>
          <w:trHeight w:val="653"/>
        </w:trPr>
        <w:tc>
          <w:tcPr>
            <w:tcW w:w="1418"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214B19DB" w14:textId="18B2BEFB" w:rsidR="00900051" w:rsidRPr="00275018" w:rsidRDefault="00897B6D" w:rsidP="00CC4D5E">
            <w:pPr>
              <w:jc w:val="both"/>
              <w:rPr>
                <w:rFonts w:ascii="Tahoma" w:hAnsi="Tahoma" w:cs="Tahoma"/>
                <w:b/>
                <w:bCs/>
                <w:color w:val="000000" w:themeColor="text1"/>
                <w:sz w:val="20"/>
                <w:szCs w:val="20"/>
                <w:lang w:val="en-US"/>
              </w:rPr>
            </w:pPr>
            <w:r w:rsidRPr="00275018">
              <w:rPr>
                <w:rFonts w:ascii="Tahoma" w:hAnsi="Tahoma" w:cs="Tahoma"/>
                <w:b/>
                <w:bCs/>
                <w:color w:val="000000" w:themeColor="text1"/>
                <w:sz w:val="20"/>
                <w:szCs w:val="20"/>
                <w:lang w:val="en-US"/>
              </w:rPr>
              <w:t>Grain crops</w:t>
            </w:r>
          </w:p>
          <w:p w14:paraId="10953124" w14:textId="08863FD2" w:rsidR="00897B6D" w:rsidRPr="00275018" w:rsidRDefault="00897B6D" w:rsidP="00CC4D5E">
            <w:pPr>
              <w:jc w:val="both"/>
              <w:rPr>
                <w:rFonts w:ascii="Tahoma" w:hAnsi="Tahoma" w:cs="Tahoma"/>
                <w:color w:val="000000" w:themeColor="text1"/>
                <w:sz w:val="20"/>
                <w:szCs w:val="20"/>
                <w:lang w:val="en-US"/>
              </w:rPr>
            </w:pPr>
          </w:p>
        </w:tc>
        <w:tc>
          <w:tcPr>
            <w:tcW w:w="1276"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468AE687"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4,4%</w:t>
            </w:r>
          </w:p>
        </w:tc>
        <w:tc>
          <w:tcPr>
            <w:tcW w:w="1467"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59BAA893"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7,0%</w:t>
            </w:r>
          </w:p>
        </w:tc>
        <w:tc>
          <w:tcPr>
            <w:tcW w:w="1309"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68E1FFF1"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7,0%</w:t>
            </w:r>
          </w:p>
        </w:tc>
        <w:tc>
          <w:tcPr>
            <w:tcW w:w="1334"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4124BA03"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10,5%</w:t>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3900C96D"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9,7%</w:t>
            </w:r>
          </w:p>
        </w:tc>
        <w:tc>
          <w:tcPr>
            <w:tcW w:w="1276"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6E3C273F"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12,1%</w:t>
            </w:r>
          </w:p>
        </w:tc>
      </w:tr>
      <w:tr w:rsidR="00275018" w:rsidRPr="00275018" w14:paraId="22BF9F6E" w14:textId="77777777" w:rsidTr="009D3E1E">
        <w:trPr>
          <w:trHeight w:val="653"/>
        </w:trPr>
        <w:tc>
          <w:tcPr>
            <w:tcW w:w="1418" w:type="dxa"/>
            <w:tcBorders>
              <w:top w:val="single" w:sz="18" w:space="0" w:color="FFFFFF"/>
              <w:left w:val="single" w:sz="18" w:space="0" w:color="FFFFFF"/>
              <w:bottom w:val="single" w:sz="18" w:space="0" w:color="FFFFFF"/>
              <w:right w:val="single" w:sz="18" w:space="0" w:color="FFFFFF"/>
            </w:tcBorders>
            <w:shd w:val="clear" w:color="auto" w:fill="D8D8D8"/>
            <w:tcMar>
              <w:top w:w="15" w:type="dxa"/>
              <w:left w:w="108" w:type="dxa"/>
              <w:bottom w:w="0" w:type="dxa"/>
              <w:right w:w="108" w:type="dxa"/>
            </w:tcMar>
            <w:vAlign w:val="center"/>
            <w:hideMark/>
          </w:tcPr>
          <w:p w14:paraId="54F79C34" w14:textId="625BF727" w:rsidR="00900051" w:rsidRPr="00275018" w:rsidRDefault="00897B6D" w:rsidP="00CC4D5E">
            <w:pPr>
              <w:jc w:val="both"/>
              <w:rPr>
                <w:rFonts w:ascii="Tahoma" w:hAnsi="Tahoma" w:cs="Tahoma"/>
                <w:color w:val="000000" w:themeColor="text1"/>
                <w:sz w:val="20"/>
                <w:szCs w:val="20"/>
                <w:lang w:val="en-US"/>
              </w:rPr>
            </w:pPr>
            <w:r w:rsidRPr="00275018">
              <w:rPr>
                <w:rFonts w:ascii="Tahoma" w:hAnsi="Tahoma" w:cs="Tahoma"/>
                <w:b/>
                <w:bCs/>
                <w:color w:val="000000" w:themeColor="text1"/>
                <w:sz w:val="20"/>
                <w:szCs w:val="20"/>
                <w:lang w:val="en-US"/>
              </w:rPr>
              <w:t>Industrial crops</w:t>
            </w:r>
          </w:p>
        </w:tc>
        <w:tc>
          <w:tcPr>
            <w:tcW w:w="1276" w:type="dxa"/>
            <w:tcBorders>
              <w:top w:val="single" w:sz="18" w:space="0" w:color="FFFFFF"/>
              <w:left w:val="single" w:sz="18" w:space="0" w:color="FFFFFF"/>
              <w:bottom w:val="single" w:sz="18" w:space="0" w:color="FFFFFF"/>
              <w:right w:val="single" w:sz="18" w:space="0" w:color="FFFFFF"/>
            </w:tcBorders>
            <w:shd w:val="clear" w:color="auto" w:fill="D8D8D8"/>
            <w:tcMar>
              <w:top w:w="15" w:type="dxa"/>
              <w:left w:w="108" w:type="dxa"/>
              <w:bottom w:w="0" w:type="dxa"/>
              <w:right w:w="108" w:type="dxa"/>
            </w:tcMar>
            <w:vAlign w:val="center"/>
            <w:hideMark/>
          </w:tcPr>
          <w:p w14:paraId="3A305DD8"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5,2%</w:t>
            </w:r>
          </w:p>
        </w:tc>
        <w:tc>
          <w:tcPr>
            <w:tcW w:w="1467" w:type="dxa"/>
            <w:tcBorders>
              <w:top w:val="single" w:sz="18" w:space="0" w:color="FFFFFF"/>
              <w:left w:val="single" w:sz="18" w:space="0" w:color="FFFFFF"/>
              <w:bottom w:val="single" w:sz="18" w:space="0" w:color="FFFFFF"/>
              <w:right w:val="single" w:sz="18" w:space="0" w:color="FFFFFF"/>
            </w:tcBorders>
            <w:shd w:val="clear" w:color="auto" w:fill="D8D8D8"/>
            <w:tcMar>
              <w:top w:w="15" w:type="dxa"/>
              <w:left w:w="108" w:type="dxa"/>
              <w:bottom w:w="0" w:type="dxa"/>
              <w:right w:w="108" w:type="dxa"/>
            </w:tcMar>
            <w:vAlign w:val="center"/>
            <w:hideMark/>
          </w:tcPr>
          <w:p w14:paraId="6C8CF0F9"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8,3%</w:t>
            </w:r>
          </w:p>
        </w:tc>
        <w:tc>
          <w:tcPr>
            <w:tcW w:w="1309" w:type="dxa"/>
            <w:tcBorders>
              <w:top w:val="single" w:sz="18" w:space="0" w:color="FFFFFF"/>
              <w:left w:val="single" w:sz="18" w:space="0" w:color="FFFFFF"/>
              <w:bottom w:val="single" w:sz="18" w:space="0" w:color="FFFFFF"/>
              <w:right w:val="single" w:sz="18" w:space="0" w:color="FFFFFF"/>
            </w:tcBorders>
            <w:shd w:val="clear" w:color="auto" w:fill="D8D8D8"/>
            <w:tcMar>
              <w:top w:w="15" w:type="dxa"/>
              <w:left w:w="108" w:type="dxa"/>
              <w:bottom w:w="0" w:type="dxa"/>
              <w:right w:w="108" w:type="dxa"/>
            </w:tcMar>
            <w:vAlign w:val="center"/>
            <w:hideMark/>
          </w:tcPr>
          <w:p w14:paraId="76056190"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6,0%</w:t>
            </w:r>
          </w:p>
        </w:tc>
        <w:tc>
          <w:tcPr>
            <w:tcW w:w="1334" w:type="dxa"/>
            <w:tcBorders>
              <w:top w:val="single" w:sz="18" w:space="0" w:color="FFFFFF"/>
              <w:left w:val="single" w:sz="18" w:space="0" w:color="FFFFFF"/>
              <w:bottom w:val="single" w:sz="18" w:space="0" w:color="FFFFFF"/>
              <w:right w:val="single" w:sz="18" w:space="0" w:color="FFFFFF"/>
            </w:tcBorders>
            <w:shd w:val="clear" w:color="auto" w:fill="D8D8D8"/>
            <w:tcMar>
              <w:top w:w="15" w:type="dxa"/>
              <w:left w:w="108" w:type="dxa"/>
              <w:bottom w:w="0" w:type="dxa"/>
              <w:right w:w="108" w:type="dxa"/>
            </w:tcMar>
            <w:vAlign w:val="center"/>
            <w:hideMark/>
          </w:tcPr>
          <w:p w14:paraId="477CBABD"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9,0%</w:t>
            </w:r>
          </w:p>
        </w:tc>
        <w:tc>
          <w:tcPr>
            <w:tcW w:w="1418" w:type="dxa"/>
            <w:tcBorders>
              <w:top w:val="single" w:sz="18" w:space="0" w:color="FFFFFF"/>
              <w:left w:val="single" w:sz="18" w:space="0" w:color="FFFFFF"/>
              <w:bottom w:val="single" w:sz="18" w:space="0" w:color="FFFFFF"/>
              <w:right w:val="single" w:sz="18" w:space="0" w:color="FFFFFF"/>
            </w:tcBorders>
            <w:shd w:val="clear" w:color="auto" w:fill="D8D8D8"/>
            <w:tcMar>
              <w:top w:w="15" w:type="dxa"/>
              <w:left w:w="108" w:type="dxa"/>
              <w:bottom w:w="0" w:type="dxa"/>
              <w:right w:w="108" w:type="dxa"/>
            </w:tcMar>
            <w:vAlign w:val="center"/>
            <w:hideMark/>
          </w:tcPr>
          <w:p w14:paraId="1714AE05"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9,8%</w:t>
            </w:r>
          </w:p>
        </w:tc>
        <w:tc>
          <w:tcPr>
            <w:tcW w:w="1276" w:type="dxa"/>
            <w:tcBorders>
              <w:top w:val="single" w:sz="18" w:space="0" w:color="FFFFFF"/>
              <w:left w:val="single" w:sz="18" w:space="0" w:color="FFFFFF"/>
              <w:bottom w:val="single" w:sz="18" w:space="0" w:color="FFFFFF"/>
              <w:right w:val="single" w:sz="18" w:space="0" w:color="FFFFFF"/>
            </w:tcBorders>
            <w:shd w:val="clear" w:color="auto" w:fill="D8D8D8"/>
            <w:tcMar>
              <w:top w:w="15" w:type="dxa"/>
              <w:left w:w="108" w:type="dxa"/>
              <w:bottom w:w="0" w:type="dxa"/>
              <w:right w:w="108" w:type="dxa"/>
            </w:tcMar>
            <w:vAlign w:val="center"/>
            <w:hideMark/>
          </w:tcPr>
          <w:p w14:paraId="0F64A2A0"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12,2%</w:t>
            </w:r>
          </w:p>
        </w:tc>
      </w:tr>
      <w:tr w:rsidR="00275018" w:rsidRPr="00275018" w14:paraId="70D86FFC" w14:textId="77777777" w:rsidTr="009D3E1E">
        <w:trPr>
          <w:trHeight w:val="653"/>
        </w:trPr>
        <w:tc>
          <w:tcPr>
            <w:tcW w:w="1418"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2C54077E" w14:textId="58FC049B" w:rsidR="00900051" w:rsidRPr="00275018" w:rsidRDefault="00E64792" w:rsidP="00CC4D5E">
            <w:pPr>
              <w:jc w:val="both"/>
              <w:rPr>
                <w:rFonts w:ascii="Tahoma" w:hAnsi="Tahoma" w:cs="Tahoma"/>
                <w:color w:val="000000" w:themeColor="text1"/>
                <w:sz w:val="20"/>
                <w:szCs w:val="20"/>
                <w:lang w:val="en-US"/>
              </w:rPr>
            </w:pPr>
            <w:r w:rsidRPr="00275018">
              <w:rPr>
                <w:rFonts w:ascii="Tahoma" w:hAnsi="Tahoma" w:cs="Tahoma"/>
                <w:b/>
                <w:bCs/>
                <w:color w:val="000000" w:themeColor="text1"/>
                <w:sz w:val="20"/>
                <w:szCs w:val="20"/>
                <w:lang w:val="en-US"/>
              </w:rPr>
              <w:t>Vegetables</w:t>
            </w:r>
          </w:p>
        </w:tc>
        <w:tc>
          <w:tcPr>
            <w:tcW w:w="1276"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2EB04005"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5,5%</w:t>
            </w:r>
          </w:p>
        </w:tc>
        <w:tc>
          <w:tcPr>
            <w:tcW w:w="1467"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3A94D217"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8,5%</w:t>
            </w:r>
          </w:p>
        </w:tc>
        <w:tc>
          <w:tcPr>
            <w:tcW w:w="1309"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7A4C80C3"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6,3%</w:t>
            </w:r>
          </w:p>
        </w:tc>
        <w:tc>
          <w:tcPr>
            <w:tcW w:w="1334"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63F4B2D2"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9,3%</w:t>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3D7D1767"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6,5%</w:t>
            </w:r>
          </w:p>
        </w:tc>
        <w:tc>
          <w:tcPr>
            <w:tcW w:w="1276" w:type="dxa"/>
            <w:tcBorders>
              <w:top w:val="single" w:sz="18" w:space="0" w:color="FFFFFF"/>
              <w:left w:val="single" w:sz="18" w:space="0" w:color="FFFFFF"/>
              <w:bottom w:val="single" w:sz="18" w:space="0" w:color="FFFFFF"/>
              <w:right w:val="single" w:sz="18" w:space="0" w:color="FFFFFF"/>
            </w:tcBorders>
            <w:shd w:val="clear" w:color="auto" w:fill="F2F2F2"/>
            <w:tcMar>
              <w:top w:w="15" w:type="dxa"/>
              <w:left w:w="108" w:type="dxa"/>
              <w:bottom w:w="0" w:type="dxa"/>
              <w:right w:w="108" w:type="dxa"/>
            </w:tcMar>
            <w:vAlign w:val="center"/>
            <w:hideMark/>
          </w:tcPr>
          <w:p w14:paraId="02F7A097" w14:textId="77777777" w:rsidR="00900051" w:rsidRPr="00275018" w:rsidRDefault="00CC4D5E" w:rsidP="00CC4D5E">
            <w:pPr>
              <w:jc w:val="both"/>
              <w:rPr>
                <w:rFonts w:ascii="Tahoma" w:hAnsi="Tahoma" w:cs="Tahoma"/>
                <w:color w:val="000000" w:themeColor="text1"/>
                <w:sz w:val="20"/>
                <w:szCs w:val="20"/>
              </w:rPr>
            </w:pPr>
            <w:r w:rsidRPr="00275018">
              <w:rPr>
                <w:rFonts w:ascii="Tahoma" w:hAnsi="Tahoma" w:cs="Tahoma"/>
                <w:color w:val="000000" w:themeColor="text1"/>
                <w:sz w:val="20"/>
                <w:szCs w:val="20"/>
              </w:rPr>
              <w:t>10,1%</w:t>
            </w:r>
          </w:p>
        </w:tc>
      </w:tr>
    </w:tbl>
    <w:p w14:paraId="3A4CFA0E" w14:textId="77777777" w:rsidR="00CC4D5E" w:rsidRPr="00275018" w:rsidRDefault="00CC4D5E" w:rsidP="00CC4D5E">
      <w:pPr>
        <w:jc w:val="both"/>
        <w:rPr>
          <w:rFonts w:ascii="Times New Roman" w:hAnsi="Times New Roman" w:cs="Times New Roman"/>
          <w:color w:val="000000" w:themeColor="text1"/>
          <w:sz w:val="16"/>
          <w:szCs w:val="16"/>
        </w:rPr>
      </w:pPr>
    </w:p>
    <w:p w14:paraId="06C0E331" w14:textId="081CC3CF" w:rsidR="004F392C" w:rsidRPr="00275018" w:rsidRDefault="004F392C" w:rsidP="00457C0A">
      <w:pPr>
        <w:ind w:firstLine="708"/>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 xml:space="preserve">In </w:t>
      </w:r>
      <w:r w:rsidR="00E97FC2" w:rsidRPr="00275018">
        <w:rPr>
          <w:rFonts w:ascii="Tahoma" w:hAnsi="Tahoma" w:cs="Tahoma"/>
          <w:color w:val="000000" w:themeColor="text1"/>
          <w:sz w:val="24"/>
          <w:szCs w:val="24"/>
          <w:lang w:val="en-US"/>
        </w:rPr>
        <w:t>2020,</w:t>
      </w:r>
      <w:r w:rsidRPr="00275018">
        <w:rPr>
          <w:rFonts w:ascii="Tahoma" w:hAnsi="Tahoma" w:cs="Tahoma"/>
          <w:color w:val="000000" w:themeColor="text1"/>
          <w:sz w:val="24"/>
          <w:szCs w:val="24"/>
          <w:lang w:val="en-US"/>
        </w:rPr>
        <w:t xml:space="preserve"> the project was acknowledged </w:t>
      </w:r>
      <w:r w:rsidR="00E97FC2" w:rsidRPr="00275018">
        <w:rPr>
          <w:rFonts w:ascii="Tahoma" w:hAnsi="Tahoma" w:cs="Tahoma"/>
          <w:color w:val="000000" w:themeColor="text1"/>
          <w:sz w:val="24"/>
          <w:szCs w:val="24"/>
          <w:lang w:val="en-US"/>
        </w:rPr>
        <w:t xml:space="preserve">as </w:t>
      </w:r>
      <w:r w:rsidR="00667744" w:rsidRPr="00275018">
        <w:rPr>
          <w:rFonts w:ascii="Tahoma" w:hAnsi="Tahoma" w:cs="Tahoma"/>
          <w:color w:val="000000" w:themeColor="text1"/>
          <w:sz w:val="24"/>
          <w:szCs w:val="24"/>
          <w:lang w:val="en-US"/>
        </w:rPr>
        <w:t>a leading innovative project</w:t>
      </w:r>
      <w:r w:rsidR="00781DE7" w:rsidRPr="00275018">
        <w:rPr>
          <w:rFonts w:ascii="Tahoma" w:hAnsi="Tahoma" w:cs="Tahoma"/>
          <w:color w:val="000000" w:themeColor="text1"/>
          <w:sz w:val="24"/>
          <w:szCs w:val="24"/>
          <w:lang w:val="en-US"/>
        </w:rPr>
        <w:t xml:space="preserve"> </w:t>
      </w:r>
      <w:r w:rsidR="00B11662" w:rsidRPr="00275018">
        <w:rPr>
          <w:rFonts w:ascii="Tahoma" w:hAnsi="Tahoma" w:cs="Tahoma"/>
          <w:color w:val="000000" w:themeColor="text1"/>
          <w:sz w:val="24"/>
          <w:szCs w:val="24"/>
          <w:lang w:val="en-US"/>
        </w:rPr>
        <w:t xml:space="preserve">in the largest contest of agricultural projects held by </w:t>
      </w:r>
      <w:r w:rsidR="00275018" w:rsidRPr="00275018">
        <w:rPr>
          <w:rFonts w:ascii="Tahoma" w:hAnsi="Tahoma" w:cs="Tahoma"/>
          <w:color w:val="000000" w:themeColor="text1"/>
          <w:sz w:val="24"/>
          <w:szCs w:val="24"/>
          <w:lang w:val="en-US"/>
        </w:rPr>
        <w:t xml:space="preserve">the </w:t>
      </w:r>
      <w:r w:rsidR="00B11662" w:rsidRPr="00275018">
        <w:rPr>
          <w:rFonts w:ascii="Tahoma" w:hAnsi="Tahoma" w:cs="Tahoma"/>
          <w:color w:val="000000" w:themeColor="text1"/>
          <w:sz w:val="24"/>
          <w:szCs w:val="24"/>
          <w:lang w:val="en-US"/>
        </w:rPr>
        <w:t>Skolkovo f</w:t>
      </w:r>
      <w:r w:rsidR="00AA70A3" w:rsidRPr="00275018">
        <w:rPr>
          <w:rFonts w:ascii="Tahoma" w:hAnsi="Tahoma" w:cs="Tahoma"/>
          <w:color w:val="000000" w:themeColor="text1"/>
          <w:sz w:val="24"/>
          <w:szCs w:val="24"/>
          <w:lang w:val="en-US"/>
        </w:rPr>
        <w:t>oundation</w:t>
      </w:r>
      <w:r w:rsidR="00B11662" w:rsidRPr="00275018">
        <w:rPr>
          <w:rFonts w:ascii="Tahoma" w:hAnsi="Tahoma" w:cs="Tahoma"/>
          <w:color w:val="000000" w:themeColor="text1"/>
          <w:sz w:val="24"/>
          <w:szCs w:val="24"/>
          <w:lang w:val="en-US"/>
        </w:rPr>
        <w:t>.</w:t>
      </w:r>
    </w:p>
    <w:p w14:paraId="31401604" w14:textId="2C381FD0" w:rsidR="009C6A0A" w:rsidRPr="00275018" w:rsidRDefault="009C6A0A" w:rsidP="00457C0A">
      <w:pPr>
        <w:ind w:firstLine="708"/>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 xml:space="preserve"> </w:t>
      </w:r>
      <w:r w:rsidR="00B11662" w:rsidRPr="00275018">
        <w:rPr>
          <w:rFonts w:ascii="Tahoma" w:hAnsi="Tahoma" w:cs="Tahoma"/>
          <w:color w:val="000000" w:themeColor="text1"/>
          <w:sz w:val="24"/>
          <w:szCs w:val="24"/>
          <w:lang w:val="en-US"/>
        </w:rPr>
        <w:t xml:space="preserve">This data has been prepared for informational purposes </w:t>
      </w:r>
      <w:r w:rsidR="00667744" w:rsidRPr="00275018">
        <w:rPr>
          <w:rFonts w:ascii="Tahoma" w:hAnsi="Tahoma" w:cs="Tahoma"/>
          <w:color w:val="000000" w:themeColor="text1"/>
          <w:sz w:val="24"/>
          <w:szCs w:val="24"/>
          <w:lang w:val="en-US"/>
        </w:rPr>
        <w:t xml:space="preserve">only </w:t>
      </w:r>
      <w:r w:rsidR="00B11662" w:rsidRPr="00275018">
        <w:rPr>
          <w:rFonts w:ascii="Tahoma" w:hAnsi="Tahoma" w:cs="Tahoma"/>
          <w:color w:val="000000" w:themeColor="text1"/>
          <w:sz w:val="24"/>
          <w:szCs w:val="24"/>
          <w:lang w:val="en-US"/>
        </w:rPr>
        <w:t>by “</w:t>
      </w:r>
      <w:proofErr w:type="spellStart"/>
      <w:r w:rsidR="00B11662" w:rsidRPr="00275018">
        <w:rPr>
          <w:rFonts w:ascii="Tahoma" w:hAnsi="Tahoma" w:cs="Tahoma"/>
          <w:color w:val="000000" w:themeColor="text1"/>
          <w:sz w:val="24"/>
          <w:szCs w:val="24"/>
          <w:lang w:val="en-US"/>
        </w:rPr>
        <w:t>EuroBiochem</w:t>
      </w:r>
      <w:proofErr w:type="spellEnd"/>
      <w:r w:rsidR="00B11662" w:rsidRPr="00275018">
        <w:rPr>
          <w:rFonts w:ascii="Tahoma" w:hAnsi="Tahoma" w:cs="Tahoma"/>
          <w:color w:val="000000" w:themeColor="text1"/>
          <w:sz w:val="24"/>
          <w:szCs w:val="24"/>
          <w:lang w:val="en-US"/>
        </w:rPr>
        <w:t>” Ltd. (info@eu-bio.ru)</w:t>
      </w:r>
    </w:p>
    <w:p w14:paraId="5274093D" w14:textId="41F1F791" w:rsidR="00457C0A" w:rsidRPr="00275018" w:rsidRDefault="009C6A0A" w:rsidP="009D3E1E">
      <w:pPr>
        <w:jc w:val="both"/>
        <w:rPr>
          <w:rFonts w:ascii="Tahoma" w:hAnsi="Tahoma" w:cs="Tahoma"/>
          <w:color w:val="000000" w:themeColor="text1"/>
          <w:sz w:val="24"/>
          <w:szCs w:val="24"/>
          <w:lang w:val="en-US"/>
        </w:rPr>
      </w:pPr>
      <w:r w:rsidRPr="00275018">
        <w:rPr>
          <w:rFonts w:ascii="Tahoma" w:hAnsi="Tahoma" w:cs="Tahoma"/>
          <w:color w:val="000000" w:themeColor="text1"/>
          <w:sz w:val="24"/>
          <w:szCs w:val="24"/>
          <w:lang w:val="en-US"/>
        </w:rPr>
        <w:tab/>
      </w:r>
      <w:r w:rsidRPr="00275018">
        <w:rPr>
          <w:rFonts w:ascii="Tahoma" w:hAnsi="Tahoma" w:cs="Tahoma"/>
          <w:color w:val="000000" w:themeColor="text1"/>
          <w:sz w:val="24"/>
          <w:szCs w:val="24"/>
          <w:lang w:val="en-US"/>
        </w:rPr>
        <w:tab/>
      </w:r>
      <w:r w:rsidRPr="00275018">
        <w:rPr>
          <w:rFonts w:ascii="Tahoma" w:hAnsi="Tahoma" w:cs="Tahoma"/>
          <w:color w:val="000000" w:themeColor="text1"/>
          <w:sz w:val="24"/>
          <w:szCs w:val="24"/>
          <w:lang w:val="en-US"/>
        </w:rPr>
        <w:tab/>
      </w:r>
      <w:r w:rsidRPr="00275018">
        <w:rPr>
          <w:rFonts w:ascii="Tahoma" w:hAnsi="Tahoma" w:cs="Tahoma"/>
          <w:color w:val="000000" w:themeColor="text1"/>
          <w:sz w:val="24"/>
          <w:szCs w:val="24"/>
          <w:lang w:val="en-US"/>
        </w:rPr>
        <w:tab/>
      </w:r>
      <w:r w:rsidRPr="00275018">
        <w:rPr>
          <w:rFonts w:ascii="Tahoma" w:hAnsi="Tahoma" w:cs="Tahoma"/>
          <w:color w:val="000000" w:themeColor="text1"/>
          <w:sz w:val="24"/>
          <w:szCs w:val="24"/>
          <w:lang w:val="en-US"/>
        </w:rPr>
        <w:tab/>
      </w:r>
      <w:r w:rsidRPr="00275018">
        <w:rPr>
          <w:rFonts w:ascii="Tahoma" w:hAnsi="Tahoma" w:cs="Tahoma"/>
          <w:color w:val="000000" w:themeColor="text1"/>
          <w:sz w:val="24"/>
          <w:szCs w:val="24"/>
          <w:lang w:val="en-US"/>
        </w:rPr>
        <w:tab/>
      </w:r>
      <w:r w:rsidRPr="00275018">
        <w:rPr>
          <w:rFonts w:ascii="Tahoma" w:hAnsi="Tahoma" w:cs="Tahoma"/>
          <w:color w:val="000000" w:themeColor="text1"/>
          <w:sz w:val="24"/>
          <w:szCs w:val="24"/>
          <w:lang w:val="en-US"/>
        </w:rPr>
        <w:tab/>
      </w:r>
      <w:r w:rsidRPr="00275018">
        <w:rPr>
          <w:rFonts w:ascii="Tahoma" w:hAnsi="Tahoma" w:cs="Tahoma"/>
          <w:color w:val="000000" w:themeColor="text1"/>
          <w:sz w:val="24"/>
          <w:szCs w:val="24"/>
          <w:lang w:val="en-US"/>
        </w:rPr>
        <w:tab/>
      </w:r>
      <w:r w:rsidRPr="00275018">
        <w:rPr>
          <w:rFonts w:ascii="Tahoma" w:hAnsi="Tahoma" w:cs="Tahoma"/>
          <w:color w:val="000000" w:themeColor="text1"/>
          <w:sz w:val="24"/>
          <w:szCs w:val="24"/>
          <w:lang w:val="en-US"/>
        </w:rPr>
        <w:tab/>
      </w:r>
      <w:r w:rsidR="009D3E1E" w:rsidRPr="00275018">
        <w:rPr>
          <w:rFonts w:ascii="Tahoma" w:hAnsi="Tahoma" w:cs="Tahoma"/>
          <w:color w:val="000000" w:themeColor="text1"/>
          <w:sz w:val="24"/>
          <w:szCs w:val="24"/>
          <w:lang w:val="en-US"/>
        </w:rPr>
        <w:tab/>
      </w:r>
    </w:p>
    <w:sectPr w:rsidR="00457C0A" w:rsidRPr="00275018" w:rsidSect="00B1198A">
      <w:pgSz w:w="11906" w:h="16838"/>
      <w:pgMar w:top="1276"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10E55" w14:textId="77777777" w:rsidR="00E25901" w:rsidRDefault="00E25901" w:rsidP="00CC1F53">
      <w:pPr>
        <w:spacing w:after="0" w:line="240" w:lineRule="auto"/>
      </w:pPr>
      <w:r>
        <w:separator/>
      </w:r>
    </w:p>
  </w:endnote>
  <w:endnote w:type="continuationSeparator" w:id="0">
    <w:p w14:paraId="38ADC16C" w14:textId="77777777" w:rsidR="00E25901" w:rsidRDefault="00E25901" w:rsidP="00CC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168E3" w14:textId="77777777" w:rsidR="00E25901" w:rsidRDefault="00E25901" w:rsidP="00CC1F53">
      <w:pPr>
        <w:spacing w:after="0" w:line="240" w:lineRule="auto"/>
      </w:pPr>
      <w:r>
        <w:separator/>
      </w:r>
    </w:p>
  </w:footnote>
  <w:footnote w:type="continuationSeparator" w:id="0">
    <w:p w14:paraId="6E86E3B8" w14:textId="77777777" w:rsidR="00E25901" w:rsidRDefault="00E25901" w:rsidP="00CC1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12646"/>
    <w:multiLevelType w:val="hybridMultilevel"/>
    <w:tmpl w:val="FDA8C2F0"/>
    <w:lvl w:ilvl="0" w:tplc="F8B6031A">
      <w:start w:val="1"/>
      <w:numFmt w:val="bullet"/>
      <w:lvlText w:val="‒"/>
      <w:lvlJc w:val="left"/>
      <w:pPr>
        <w:tabs>
          <w:tab w:val="num" w:pos="720"/>
        </w:tabs>
        <w:ind w:left="720" w:hanging="360"/>
      </w:pPr>
      <w:rPr>
        <w:rFonts w:ascii="Tahoma" w:hAnsi="Tahoma" w:hint="default"/>
      </w:rPr>
    </w:lvl>
    <w:lvl w:ilvl="1" w:tplc="6F8E0F2C">
      <w:start w:val="1"/>
      <w:numFmt w:val="bullet"/>
      <w:lvlText w:val="‒"/>
      <w:lvlJc w:val="left"/>
      <w:pPr>
        <w:tabs>
          <w:tab w:val="num" w:pos="1440"/>
        </w:tabs>
        <w:ind w:left="1440" w:hanging="360"/>
      </w:pPr>
      <w:rPr>
        <w:rFonts w:ascii="Tahoma" w:hAnsi="Tahoma" w:hint="default"/>
      </w:rPr>
    </w:lvl>
    <w:lvl w:ilvl="2" w:tplc="6086561E" w:tentative="1">
      <w:start w:val="1"/>
      <w:numFmt w:val="bullet"/>
      <w:lvlText w:val="‒"/>
      <w:lvlJc w:val="left"/>
      <w:pPr>
        <w:tabs>
          <w:tab w:val="num" w:pos="2160"/>
        </w:tabs>
        <w:ind w:left="2160" w:hanging="360"/>
      </w:pPr>
      <w:rPr>
        <w:rFonts w:ascii="Tahoma" w:hAnsi="Tahoma" w:hint="default"/>
      </w:rPr>
    </w:lvl>
    <w:lvl w:ilvl="3" w:tplc="0E74B9B0" w:tentative="1">
      <w:start w:val="1"/>
      <w:numFmt w:val="bullet"/>
      <w:lvlText w:val="‒"/>
      <w:lvlJc w:val="left"/>
      <w:pPr>
        <w:tabs>
          <w:tab w:val="num" w:pos="2880"/>
        </w:tabs>
        <w:ind w:left="2880" w:hanging="360"/>
      </w:pPr>
      <w:rPr>
        <w:rFonts w:ascii="Tahoma" w:hAnsi="Tahoma" w:hint="default"/>
      </w:rPr>
    </w:lvl>
    <w:lvl w:ilvl="4" w:tplc="1E1C5AA0" w:tentative="1">
      <w:start w:val="1"/>
      <w:numFmt w:val="bullet"/>
      <w:lvlText w:val="‒"/>
      <w:lvlJc w:val="left"/>
      <w:pPr>
        <w:tabs>
          <w:tab w:val="num" w:pos="3600"/>
        </w:tabs>
        <w:ind w:left="3600" w:hanging="360"/>
      </w:pPr>
      <w:rPr>
        <w:rFonts w:ascii="Tahoma" w:hAnsi="Tahoma" w:hint="default"/>
      </w:rPr>
    </w:lvl>
    <w:lvl w:ilvl="5" w:tplc="04E2C464" w:tentative="1">
      <w:start w:val="1"/>
      <w:numFmt w:val="bullet"/>
      <w:lvlText w:val="‒"/>
      <w:lvlJc w:val="left"/>
      <w:pPr>
        <w:tabs>
          <w:tab w:val="num" w:pos="4320"/>
        </w:tabs>
        <w:ind w:left="4320" w:hanging="360"/>
      </w:pPr>
      <w:rPr>
        <w:rFonts w:ascii="Tahoma" w:hAnsi="Tahoma" w:hint="default"/>
      </w:rPr>
    </w:lvl>
    <w:lvl w:ilvl="6" w:tplc="BC3E2220" w:tentative="1">
      <w:start w:val="1"/>
      <w:numFmt w:val="bullet"/>
      <w:lvlText w:val="‒"/>
      <w:lvlJc w:val="left"/>
      <w:pPr>
        <w:tabs>
          <w:tab w:val="num" w:pos="5040"/>
        </w:tabs>
        <w:ind w:left="5040" w:hanging="360"/>
      </w:pPr>
      <w:rPr>
        <w:rFonts w:ascii="Tahoma" w:hAnsi="Tahoma" w:hint="default"/>
      </w:rPr>
    </w:lvl>
    <w:lvl w:ilvl="7" w:tplc="8796184C" w:tentative="1">
      <w:start w:val="1"/>
      <w:numFmt w:val="bullet"/>
      <w:lvlText w:val="‒"/>
      <w:lvlJc w:val="left"/>
      <w:pPr>
        <w:tabs>
          <w:tab w:val="num" w:pos="5760"/>
        </w:tabs>
        <w:ind w:left="5760" w:hanging="360"/>
      </w:pPr>
      <w:rPr>
        <w:rFonts w:ascii="Tahoma" w:hAnsi="Tahoma" w:hint="default"/>
      </w:rPr>
    </w:lvl>
    <w:lvl w:ilvl="8" w:tplc="8E4A402A" w:tentative="1">
      <w:start w:val="1"/>
      <w:numFmt w:val="bullet"/>
      <w:lvlText w:val="‒"/>
      <w:lvlJc w:val="left"/>
      <w:pPr>
        <w:tabs>
          <w:tab w:val="num" w:pos="6480"/>
        </w:tabs>
        <w:ind w:left="6480" w:hanging="360"/>
      </w:pPr>
      <w:rPr>
        <w:rFonts w:ascii="Tahoma" w:hAnsi="Tahoma" w:hint="default"/>
      </w:rPr>
    </w:lvl>
  </w:abstractNum>
  <w:abstractNum w:abstractNumId="1" w15:restartNumberingAfterBreak="0">
    <w:nsid w:val="2AFB2424"/>
    <w:multiLevelType w:val="hybridMultilevel"/>
    <w:tmpl w:val="4BFC68C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3B200816"/>
    <w:multiLevelType w:val="hybridMultilevel"/>
    <w:tmpl w:val="E83CD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8BC4C92"/>
    <w:multiLevelType w:val="hybridMultilevel"/>
    <w:tmpl w:val="599E98A4"/>
    <w:lvl w:ilvl="0" w:tplc="C422CBC2">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294BFC"/>
    <w:multiLevelType w:val="hybridMultilevel"/>
    <w:tmpl w:val="A1DCF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05"/>
    <w:rsid w:val="000028BA"/>
    <w:rsid w:val="00016F8A"/>
    <w:rsid w:val="00032F2C"/>
    <w:rsid w:val="00065482"/>
    <w:rsid w:val="000A334B"/>
    <w:rsid w:val="000B29D6"/>
    <w:rsid w:val="000C14D5"/>
    <w:rsid w:val="000E681E"/>
    <w:rsid w:val="000F29BA"/>
    <w:rsid w:val="001231FD"/>
    <w:rsid w:val="00166D4B"/>
    <w:rsid w:val="00166F8A"/>
    <w:rsid w:val="0017121F"/>
    <w:rsid w:val="00174D9A"/>
    <w:rsid w:val="00180334"/>
    <w:rsid w:val="001C59EF"/>
    <w:rsid w:val="001D3E76"/>
    <w:rsid w:val="0020292B"/>
    <w:rsid w:val="00210F70"/>
    <w:rsid w:val="00212582"/>
    <w:rsid w:val="002352FD"/>
    <w:rsid w:val="00244677"/>
    <w:rsid w:val="002477B8"/>
    <w:rsid w:val="00256685"/>
    <w:rsid w:val="00262BCC"/>
    <w:rsid w:val="002667D5"/>
    <w:rsid w:val="002668B7"/>
    <w:rsid w:val="00267AE8"/>
    <w:rsid w:val="00275018"/>
    <w:rsid w:val="002909F8"/>
    <w:rsid w:val="002A08CE"/>
    <w:rsid w:val="002A5B9C"/>
    <w:rsid w:val="002B0207"/>
    <w:rsid w:val="002B6E18"/>
    <w:rsid w:val="003206E5"/>
    <w:rsid w:val="00327823"/>
    <w:rsid w:val="003349DA"/>
    <w:rsid w:val="00393125"/>
    <w:rsid w:val="0039735B"/>
    <w:rsid w:val="003A6F31"/>
    <w:rsid w:val="003D00E7"/>
    <w:rsid w:val="00436514"/>
    <w:rsid w:val="00457C0A"/>
    <w:rsid w:val="0046596B"/>
    <w:rsid w:val="004A4168"/>
    <w:rsid w:val="004B1F9A"/>
    <w:rsid w:val="004B2D38"/>
    <w:rsid w:val="004B4397"/>
    <w:rsid w:val="004B7FB1"/>
    <w:rsid w:val="004C3BCD"/>
    <w:rsid w:val="004E5837"/>
    <w:rsid w:val="004F2EC0"/>
    <w:rsid w:val="004F392C"/>
    <w:rsid w:val="00504F73"/>
    <w:rsid w:val="0050773F"/>
    <w:rsid w:val="00512A5B"/>
    <w:rsid w:val="005255DE"/>
    <w:rsid w:val="00567346"/>
    <w:rsid w:val="005861CD"/>
    <w:rsid w:val="005933C3"/>
    <w:rsid w:val="005C76BC"/>
    <w:rsid w:val="005D630A"/>
    <w:rsid w:val="006057B1"/>
    <w:rsid w:val="00667744"/>
    <w:rsid w:val="0067111B"/>
    <w:rsid w:val="006C042E"/>
    <w:rsid w:val="006C46B9"/>
    <w:rsid w:val="006E5A19"/>
    <w:rsid w:val="007118D8"/>
    <w:rsid w:val="0072432E"/>
    <w:rsid w:val="0073576B"/>
    <w:rsid w:val="0074582B"/>
    <w:rsid w:val="007513C6"/>
    <w:rsid w:val="00766DA4"/>
    <w:rsid w:val="00781DE7"/>
    <w:rsid w:val="00786626"/>
    <w:rsid w:val="00793B05"/>
    <w:rsid w:val="007A3B3C"/>
    <w:rsid w:val="007C3BFA"/>
    <w:rsid w:val="007F004E"/>
    <w:rsid w:val="008054D3"/>
    <w:rsid w:val="008114B7"/>
    <w:rsid w:val="00823D3C"/>
    <w:rsid w:val="00862ACF"/>
    <w:rsid w:val="008678C9"/>
    <w:rsid w:val="00897B6D"/>
    <w:rsid w:val="008B46DE"/>
    <w:rsid w:val="008C0608"/>
    <w:rsid w:val="008F5991"/>
    <w:rsid w:val="00900051"/>
    <w:rsid w:val="0090303E"/>
    <w:rsid w:val="009547B1"/>
    <w:rsid w:val="00980FE5"/>
    <w:rsid w:val="0098275A"/>
    <w:rsid w:val="009A4630"/>
    <w:rsid w:val="009A46ED"/>
    <w:rsid w:val="009C6A0A"/>
    <w:rsid w:val="009C7703"/>
    <w:rsid w:val="009D1B59"/>
    <w:rsid w:val="009D3C9A"/>
    <w:rsid w:val="009D3E1E"/>
    <w:rsid w:val="009D60E9"/>
    <w:rsid w:val="00A659F8"/>
    <w:rsid w:val="00A761C2"/>
    <w:rsid w:val="00AA70A3"/>
    <w:rsid w:val="00AB7768"/>
    <w:rsid w:val="00AD08E8"/>
    <w:rsid w:val="00AD1A8D"/>
    <w:rsid w:val="00B11662"/>
    <w:rsid w:val="00B1198A"/>
    <w:rsid w:val="00B31B3A"/>
    <w:rsid w:val="00B544A3"/>
    <w:rsid w:val="00B734B7"/>
    <w:rsid w:val="00B73BA4"/>
    <w:rsid w:val="00B850B4"/>
    <w:rsid w:val="00B97031"/>
    <w:rsid w:val="00BA1F40"/>
    <w:rsid w:val="00BD70B4"/>
    <w:rsid w:val="00C043B8"/>
    <w:rsid w:val="00C1646F"/>
    <w:rsid w:val="00C2764A"/>
    <w:rsid w:val="00C3663F"/>
    <w:rsid w:val="00C6307C"/>
    <w:rsid w:val="00CB2AFC"/>
    <w:rsid w:val="00CB4212"/>
    <w:rsid w:val="00CC1F53"/>
    <w:rsid w:val="00CC4D5E"/>
    <w:rsid w:val="00CD757C"/>
    <w:rsid w:val="00CE1886"/>
    <w:rsid w:val="00D17E59"/>
    <w:rsid w:val="00D277C0"/>
    <w:rsid w:val="00D731D3"/>
    <w:rsid w:val="00D77CB4"/>
    <w:rsid w:val="00D929F2"/>
    <w:rsid w:val="00DA7F94"/>
    <w:rsid w:val="00DC00AD"/>
    <w:rsid w:val="00DC55AB"/>
    <w:rsid w:val="00DD4733"/>
    <w:rsid w:val="00DF7B6F"/>
    <w:rsid w:val="00E25148"/>
    <w:rsid w:val="00E25901"/>
    <w:rsid w:val="00E44D7D"/>
    <w:rsid w:val="00E57CF4"/>
    <w:rsid w:val="00E633E0"/>
    <w:rsid w:val="00E64792"/>
    <w:rsid w:val="00E725D1"/>
    <w:rsid w:val="00E83F1D"/>
    <w:rsid w:val="00E84ED9"/>
    <w:rsid w:val="00E955E0"/>
    <w:rsid w:val="00E97FC2"/>
    <w:rsid w:val="00EA2632"/>
    <w:rsid w:val="00ED2906"/>
    <w:rsid w:val="00F2797F"/>
    <w:rsid w:val="00F665D0"/>
    <w:rsid w:val="00F73705"/>
    <w:rsid w:val="00F95F78"/>
    <w:rsid w:val="00FA1102"/>
    <w:rsid w:val="00FE0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35EF4"/>
  <w15:docId w15:val="{6169EE26-90BA-4898-B2BA-EA8A10E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8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BCC"/>
    <w:pPr>
      <w:ind w:left="720"/>
      <w:contextualSpacing/>
    </w:pPr>
  </w:style>
  <w:style w:type="character" w:styleId="a4">
    <w:name w:val="Hyperlink"/>
    <w:basedOn w:val="a0"/>
    <w:uiPriority w:val="99"/>
    <w:unhideWhenUsed/>
    <w:rsid w:val="00262BCC"/>
    <w:rPr>
      <w:color w:val="0563C1" w:themeColor="hyperlink"/>
      <w:u w:val="single"/>
    </w:rPr>
  </w:style>
  <w:style w:type="character" w:customStyle="1" w:styleId="1">
    <w:name w:val="Неразрешенное упоминание1"/>
    <w:basedOn w:val="a0"/>
    <w:uiPriority w:val="99"/>
    <w:semiHidden/>
    <w:unhideWhenUsed/>
    <w:rsid w:val="00262BCC"/>
    <w:rPr>
      <w:color w:val="605E5C"/>
      <w:shd w:val="clear" w:color="auto" w:fill="E1DFDD"/>
    </w:rPr>
  </w:style>
  <w:style w:type="paragraph" w:styleId="a5">
    <w:name w:val="Balloon Text"/>
    <w:basedOn w:val="a"/>
    <w:link w:val="a6"/>
    <w:uiPriority w:val="99"/>
    <w:semiHidden/>
    <w:unhideWhenUsed/>
    <w:rsid w:val="00174D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D9A"/>
    <w:rPr>
      <w:rFonts w:ascii="Tahoma" w:hAnsi="Tahoma" w:cs="Tahoma"/>
      <w:sz w:val="16"/>
      <w:szCs w:val="16"/>
    </w:rPr>
  </w:style>
  <w:style w:type="paragraph" w:styleId="a7">
    <w:name w:val="header"/>
    <w:basedOn w:val="a"/>
    <w:link w:val="a8"/>
    <w:uiPriority w:val="99"/>
    <w:unhideWhenUsed/>
    <w:rsid w:val="00CC1F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1F53"/>
  </w:style>
  <w:style w:type="paragraph" w:styleId="a9">
    <w:name w:val="footer"/>
    <w:basedOn w:val="a"/>
    <w:link w:val="aa"/>
    <w:uiPriority w:val="99"/>
    <w:unhideWhenUsed/>
    <w:rsid w:val="00CC1F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1F53"/>
  </w:style>
  <w:style w:type="character" w:styleId="ab">
    <w:name w:val="FollowedHyperlink"/>
    <w:basedOn w:val="a0"/>
    <w:uiPriority w:val="99"/>
    <w:semiHidden/>
    <w:unhideWhenUsed/>
    <w:rsid w:val="002667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786865">
      <w:bodyDiv w:val="1"/>
      <w:marLeft w:val="0"/>
      <w:marRight w:val="0"/>
      <w:marTop w:val="0"/>
      <w:marBottom w:val="0"/>
      <w:divBdr>
        <w:top w:val="none" w:sz="0" w:space="0" w:color="auto"/>
        <w:left w:val="none" w:sz="0" w:space="0" w:color="auto"/>
        <w:bottom w:val="none" w:sz="0" w:space="0" w:color="auto"/>
        <w:right w:val="none" w:sz="0" w:space="0" w:color="auto"/>
      </w:divBdr>
      <w:divsChild>
        <w:div w:id="399448847">
          <w:marLeft w:val="1411"/>
          <w:marRight w:val="0"/>
          <w:marTop w:val="80"/>
          <w:marBottom w:val="0"/>
          <w:divBdr>
            <w:top w:val="none" w:sz="0" w:space="0" w:color="auto"/>
            <w:left w:val="none" w:sz="0" w:space="0" w:color="auto"/>
            <w:bottom w:val="none" w:sz="0" w:space="0" w:color="auto"/>
            <w:right w:val="none" w:sz="0" w:space="0" w:color="auto"/>
          </w:divBdr>
        </w:div>
        <w:div w:id="763958481">
          <w:marLeft w:val="1411"/>
          <w:marRight w:val="0"/>
          <w:marTop w:val="80"/>
          <w:marBottom w:val="0"/>
          <w:divBdr>
            <w:top w:val="none" w:sz="0" w:space="0" w:color="auto"/>
            <w:left w:val="none" w:sz="0" w:space="0" w:color="auto"/>
            <w:bottom w:val="none" w:sz="0" w:space="0" w:color="auto"/>
            <w:right w:val="none" w:sz="0" w:space="0" w:color="auto"/>
          </w:divBdr>
        </w:div>
      </w:divsChild>
    </w:div>
    <w:div w:id="1108624838">
      <w:bodyDiv w:val="1"/>
      <w:marLeft w:val="0"/>
      <w:marRight w:val="0"/>
      <w:marTop w:val="0"/>
      <w:marBottom w:val="0"/>
      <w:divBdr>
        <w:top w:val="none" w:sz="0" w:space="0" w:color="auto"/>
        <w:left w:val="none" w:sz="0" w:space="0" w:color="auto"/>
        <w:bottom w:val="none" w:sz="0" w:space="0" w:color="auto"/>
        <w:right w:val="none" w:sz="0" w:space="0" w:color="auto"/>
      </w:divBdr>
    </w:div>
    <w:div w:id="1703751400">
      <w:bodyDiv w:val="1"/>
      <w:marLeft w:val="0"/>
      <w:marRight w:val="0"/>
      <w:marTop w:val="0"/>
      <w:marBottom w:val="0"/>
      <w:divBdr>
        <w:top w:val="none" w:sz="0" w:space="0" w:color="auto"/>
        <w:left w:val="none" w:sz="0" w:space="0" w:color="auto"/>
        <w:bottom w:val="none" w:sz="0" w:space="0" w:color="auto"/>
        <w:right w:val="none" w:sz="0" w:space="0" w:color="auto"/>
      </w:divBdr>
    </w:div>
    <w:div w:id="179667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dpatent.ru/patent/251/251227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d.patent.su/2241000-2241999/pat/servl/servlet4c3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E35B8-6DDD-4B2C-92E0-17858D69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Васкович</dc:creator>
  <cp:lastModifiedBy>Vladimir Golban</cp:lastModifiedBy>
  <cp:revision>4</cp:revision>
  <cp:lastPrinted>2021-02-08T23:16:00Z</cp:lastPrinted>
  <dcterms:created xsi:type="dcterms:W3CDTF">2021-03-01T20:43:00Z</dcterms:created>
  <dcterms:modified xsi:type="dcterms:W3CDTF">2021-03-02T09:36:00Z</dcterms:modified>
</cp:coreProperties>
</file>