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BA7C" w14:textId="77777777" w:rsidR="0036438A" w:rsidRPr="00847EAE" w:rsidRDefault="0036438A" w:rsidP="0036438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AE">
        <w:rPr>
          <w:rFonts w:ascii="Times New Roman" w:hAnsi="Times New Roman" w:cs="Times New Roman"/>
          <w:b/>
          <w:bCs/>
          <w:sz w:val="28"/>
          <w:szCs w:val="28"/>
        </w:rPr>
        <w:t>Аналитическая записка на тему:</w:t>
      </w:r>
    </w:p>
    <w:p w14:paraId="33E4EBE8" w14:textId="2B0E0384" w:rsidR="0036438A" w:rsidRPr="00E753CF" w:rsidRDefault="0036438A" w:rsidP="0036438A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EA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Единая цифровая валюта: возможности и риски</w:t>
      </w:r>
      <w:r w:rsidRPr="00847EA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03AFA58" w14:textId="77777777" w:rsidR="0036438A" w:rsidRPr="00847EAE" w:rsidRDefault="0036438A" w:rsidP="0036438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Pr="00847EAE">
        <w:rPr>
          <w:rFonts w:ascii="Times New Roman" w:hAnsi="Times New Roman" w:cs="Times New Roman"/>
          <w:b/>
          <w:bCs/>
          <w:sz w:val="28"/>
          <w:szCs w:val="28"/>
        </w:rPr>
        <w:t>Малик Ольга Владимировна,</w:t>
      </w:r>
    </w:p>
    <w:p w14:paraId="21A304B9" w14:textId="77777777" w:rsidR="0036438A" w:rsidRDefault="0036438A" w:rsidP="0036438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AE">
        <w:rPr>
          <w:rFonts w:ascii="Times New Roman" w:hAnsi="Times New Roman" w:cs="Times New Roman"/>
          <w:b/>
          <w:bCs/>
          <w:sz w:val="28"/>
          <w:szCs w:val="28"/>
        </w:rPr>
        <w:t xml:space="preserve">эксперт международного центра социально-экономических исследований </w:t>
      </w:r>
      <w:r w:rsidRPr="00847EAE">
        <w:rPr>
          <w:rFonts w:ascii="Times New Roman" w:hAnsi="Times New Roman" w:cs="Times New Roman"/>
          <w:b/>
          <w:bCs/>
          <w:sz w:val="28"/>
          <w:szCs w:val="28"/>
          <w:lang w:val="en-US"/>
        </w:rPr>
        <w:t>SETA</w:t>
      </w:r>
      <w:r w:rsidRPr="00847E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7EAE">
        <w:rPr>
          <w:rFonts w:ascii="Times New Roman" w:hAnsi="Times New Roman" w:cs="Times New Roman"/>
          <w:b/>
          <w:bCs/>
          <w:sz w:val="28"/>
          <w:szCs w:val="28"/>
          <w:lang w:val="en-US"/>
        </w:rPr>
        <w:t>Foundation</w:t>
      </w:r>
      <w:r w:rsidRPr="00847EAE">
        <w:rPr>
          <w:rFonts w:ascii="Times New Roman" w:hAnsi="Times New Roman" w:cs="Times New Roman"/>
          <w:b/>
          <w:bCs/>
          <w:sz w:val="28"/>
          <w:szCs w:val="28"/>
        </w:rPr>
        <w:t>, Центра европейско-азиатских исследований, начальник отдела международных и межрегиональных связей Уральской торгово-промышленной палаты</w:t>
      </w:r>
    </w:p>
    <w:p w14:paraId="581331B4" w14:textId="421F1EA4" w:rsidR="00240E72" w:rsidRPr="00A4716D" w:rsidRDefault="00A4716D" w:rsidP="00A47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0E72" w:rsidRPr="00A4716D">
        <w:rPr>
          <w:rFonts w:ascii="Times New Roman" w:hAnsi="Times New Roman" w:cs="Times New Roman"/>
          <w:sz w:val="28"/>
          <w:szCs w:val="28"/>
        </w:rPr>
        <w:t>Стремительный рост цифровых валют нельзя отрицать</w:t>
      </w:r>
      <w:r w:rsidR="00240E72" w:rsidRPr="00A4716D">
        <w:rPr>
          <w:rFonts w:ascii="Times New Roman" w:hAnsi="Times New Roman" w:cs="Times New Roman"/>
          <w:sz w:val="28"/>
          <w:szCs w:val="28"/>
        </w:rPr>
        <w:t>:</w:t>
      </w:r>
      <w:r w:rsidR="00240E72" w:rsidRPr="00A4716D">
        <w:rPr>
          <w:rFonts w:ascii="Times New Roman" w:hAnsi="Times New Roman" w:cs="Times New Roman"/>
          <w:sz w:val="28"/>
          <w:szCs w:val="28"/>
        </w:rPr>
        <w:t xml:space="preserve"> сегодня этот</w:t>
      </w:r>
      <w:r w:rsidR="00240E72" w:rsidRPr="00A4716D">
        <w:rPr>
          <w:rFonts w:ascii="Times New Roman" w:hAnsi="Times New Roman" w:cs="Times New Roman"/>
          <w:sz w:val="28"/>
          <w:szCs w:val="28"/>
        </w:rPr>
        <w:t xml:space="preserve"> рынок оценивается более чем в 2 триллиона долларов и включает более 15 000 разновидностей</w:t>
      </w:r>
      <w:r w:rsidR="00240E72" w:rsidRPr="00A4716D">
        <w:rPr>
          <w:rFonts w:ascii="Times New Roman" w:hAnsi="Times New Roman" w:cs="Times New Roman"/>
          <w:sz w:val="28"/>
          <w:szCs w:val="28"/>
        </w:rPr>
        <w:t xml:space="preserve"> виртуальных </w:t>
      </w:r>
      <w:r w:rsidR="004D32A2" w:rsidRPr="00A4716D">
        <w:rPr>
          <w:rFonts w:ascii="Times New Roman" w:hAnsi="Times New Roman" w:cs="Times New Roman"/>
          <w:sz w:val="28"/>
          <w:szCs w:val="28"/>
        </w:rPr>
        <w:t>денежных единиц</w:t>
      </w:r>
      <w:r w:rsidR="00240E72" w:rsidRPr="00A4716D">
        <w:rPr>
          <w:rFonts w:ascii="Times New Roman" w:hAnsi="Times New Roman" w:cs="Times New Roman"/>
          <w:sz w:val="28"/>
          <w:szCs w:val="28"/>
        </w:rPr>
        <w:t xml:space="preserve">. </w:t>
      </w:r>
      <w:r w:rsidR="004D32A2" w:rsidRPr="00A4716D">
        <w:rPr>
          <w:rFonts w:ascii="Times New Roman" w:hAnsi="Times New Roman" w:cs="Times New Roman"/>
          <w:sz w:val="28"/>
          <w:szCs w:val="28"/>
        </w:rPr>
        <w:t>Некоторое государства постепенно признают цифровые валюты на национальном уровне. Так, например, в</w:t>
      </w:r>
      <w:r w:rsidR="00240E72" w:rsidRPr="00A4716D">
        <w:rPr>
          <w:rFonts w:ascii="Times New Roman" w:hAnsi="Times New Roman" w:cs="Times New Roman"/>
          <w:sz w:val="28"/>
          <w:szCs w:val="28"/>
        </w:rPr>
        <w:t xml:space="preserve"> 2021 году Сальвадор при</w:t>
      </w:r>
      <w:r w:rsidR="007F202F" w:rsidRPr="00A4716D">
        <w:rPr>
          <w:rFonts w:ascii="Times New Roman" w:hAnsi="Times New Roman" w:cs="Times New Roman"/>
          <w:sz w:val="28"/>
          <w:szCs w:val="28"/>
        </w:rPr>
        <w:t>знал</w:t>
      </w:r>
      <w:r w:rsidR="00240E72" w:rsidRPr="00A4716D">
        <w:rPr>
          <w:rFonts w:ascii="Times New Roman" w:hAnsi="Times New Roman" w:cs="Times New Roman"/>
          <w:sz w:val="28"/>
          <w:szCs w:val="28"/>
        </w:rPr>
        <w:t xml:space="preserve"> биткойн в качестве законной валюты.</w:t>
      </w:r>
    </w:p>
    <w:p w14:paraId="1A378F60" w14:textId="3792DB88" w:rsidR="0036438A" w:rsidRDefault="00A4716D" w:rsidP="00A47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32A2" w:rsidRPr="00A4716D">
        <w:rPr>
          <w:rFonts w:ascii="Times New Roman" w:hAnsi="Times New Roman" w:cs="Times New Roman"/>
          <w:sz w:val="28"/>
          <w:szCs w:val="28"/>
        </w:rPr>
        <w:t>На фоне развития частных</w:t>
      </w:r>
      <w:r w:rsidR="00240E72" w:rsidRPr="00A4716D">
        <w:rPr>
          <w:rFonts w:ascii="Times New Roman" w:hAnsi="Times New Roman" w:cs="Times New Roman"/>
          <w:sz w:val="28"/>
          <w:szCs w:val="28"/>
        </w:rPr>
        <w:t xml:space="preserve"> цифровы</w:t>
      </w:r>
      <w:r w:rsidR="004D32A2" w:rsidRPr="00A4716D">
        <w:rPr>
          <w:rFonts w:ascii="Times New Roman" w:hAnsi="Times New Roman" w:cs="Times New Roman"/>
          <w:sz w:val="28"/>
          <w:szCs w:val="28"/>
        </w:rPr>
        <w:t>х</w:t>
      </w:r>
      <w:r w:rsidR="00240E72" w:rsidRPr="00A4716D">
        <w:rPr>
          <w:rFonts w:ascii="Times New Roman" w:hAnsi="Times New Roman" w:cs="Times New Roman"/>
          <w:sz w:val="28"/>
          <w:szCs w:val="28"/>
        </w:rPr>
        <w:t xml:space="preserve"> валют, центральные банки догоняют их. </w:t>
      </w:r>
      <w:r w:rsidR="00707D64">
        <w:rPr>
          <w:rFonts w:ascii="Times New Roman" w:hAnsi="Times New Roman" w:cs="Times New Roman"/>
          <w:sz w:val="28"/>
          <w:szCs w:val="28"/>
        </w:rPr>
        <w:t>Так, в</w:t>
      </w:r>
      <w:r w:rsidR="00707D64" w:rsidRPr="00707D64">
        <w:rPr>
          <w:rFonts w:ascii="Times New Roman" w:hAnsi="Times New Roman" w:cs="Times New Roman"/>
          <w:sz w:val="28"/>
          <w:szCs w:val="28"/>
        </w:rPr>
        <w:t xml:space="preserve"> сентябре 2020 года Mastercard запустила платформу тестирования </w:t>
      </w:r>
      <w:r w:rsidR="009055E4" w:rsidRPr="00A4716D">
        <w:rPr>
          <w:rFonts w:ascii="Times New Roman" w:hAnsi="Times New Roman" w:cs="Times New Roman"/>
          <w:sz w:val="28"/>
          <w:szCs w:val="28"/>
        </w:rPr>
        <w:t>цифровы</w:t>
      </w:r>
      <w:r w:rsidR="009055E4">
        <w:rPr>
          <w:rFonts w:ascii="Times New Roman" w:hAnsi="Times New Roman" w:cs="Times New Roman"/>
          <w:sz w:val="28"/>
          <w:szCs w:val="28"/>
        </w:rPr>
        <w:t>х</w:t>
      </w:r>
      <w:r w:rsidR="009055E4" w:rsidRPr="00A4716D">
        <w:rPr>
          <w:rFonts w:ascii="Times New Roman" w:hAnsi="Times New Roman" w:cs="Times New Roman"/>
          <w:sz w:val="28"/>
          <w:szCs w:val="28"/>
        </w:rPr>
        <w:t xml:space="preserve"> валют центрального банка </w:t>
      </w:r>
      <w:r w:rsidR="009055E4">
        <w:rPr>
          <w:rFonts w:ascii="Times New Roman" w:hAnsi="Times New Roman" w:cs="Times New Roman"/>
          <w:sz w:val="28"/>
          <w:szCs w:val="28"/>
        </w:rPr>
        <w:t>(</w:t>
      </w:r>
      <w:r w:rsidR="00707D64">
        <w:rPr>
          <w:rFonts w:ascii="Times New Roman" w:hAnsi="Times New Roman" w:cs="Times New Roman"/>
          <w:sz w:val="28"/>
          <w:szCs w:val="28"/>
        </w:rPr>
        <w:t>ЦВЦБ</w:t>
      </w:r>
      <w:r w:rsidR="009055E4">
        <w:rPr>
          <w:rFonts w:ascii="Times New Roman" w:hAnsi="Times New Roman" w:cs="Times New Roman"/>
          <w:sz w:val="28"/>
          <w:szCs w:val="28"/>
        </w:rPr>
        <w:t>)</w:t>
      </w:r>
      <w:r w:rsidR="00707D64" w:rsidRPr="00707D64">
        <w:rPr>
          <w:rFonts w:ascii="Times New Roman" w:hAnsi="Times New Roman" w:cs="Times New Roman"/>
          <w:sz w:val="28"/>
          <w:szCs w:val="28"/>
        </w:rPr>
        <w:t xml:space="preserve">, </w:t>
      </w:r>
      <w:r w:rsidR="009055E4">
        <w:rPr>
          <w:rFonts w:ascii="Times New Roman" w:hAnsi="Times New Roman" w:cs="Times New Roman"/>
          <w:sz w:val="28"/>
          <w:szCs w:val="28"/>
        </w:rPr>
        <w:t>позволяющую</w:t>
      </w:r>
      <w:r w:rsidR="00707D64" w:rsidRPr="00707D64">
        <w:rPr>
          <w:rFonts w:ascii="Times New Roman" w:hAnsi="Times New Roman" w:cs="Times New Roman"/>
          <w:sz w:val="28"/>
          <w:szCs w:val="28"/>
        </w:rPr>
        <w:t xml:space="preserve"> центральным банкам оценивать варианты </w:t>
      </w:r>
      <w:r w:rsidR="009055E4">
        <w:rPr>
          <w:rFonts w:ascii="Times New Roman" w:hAnsi="Times New Roman" w:cs="Times New Roman"/>
          <w:sz w:val="28"/>
          <w:szCs w:val="28"/>
        </w:rPr>
        <w:t xml:space="preserve">ее </w:t>
      </w:r>
      <w:r w:rsidR="00707D64" w:rsidRPr="00707D64">
        <w:rPr>
          <w:rFonts w:ascii="Times New Roman" w:hAnsi="Times New Roman" w:cs="Times New Roman"/>
          <w:sz w:val="28"/>
          <w:szCs w:val="28"/>
        </w:rPr>
        <w:t xml:space="preserve">использования и </w:t>
      </w:r>
      <w:r w:rsidR="00707D64">
        <w:rPr>
          <w:rFonts w:ascii="Times New Roman" w:hAnsi="Times New Roman" w:cs="Times New Roman"/>
          <w:sz w:val="28"/>
          <w:szCs w:val="28"/>
        </w:rPr>
        <w:t>проверять</w:t>
      </w:r>
      <w:r w:rsidR="00707D64" w:rsidRPr="00707D64">
        <w:rPr>
          <w:rFonts w:ascii="Times New Roman" w:hAnsi="Times New Roman" w:cs="Times New Roman"/>
          <w:sz w:val="28"/>
          <w:szCs w:val="28"/>
        </w:rPr>
        <w:t xml:space="preserve"> стратегии развертывания путем моделирования экосистемы </w:t>
      </w:r>
      <w:r w:rsidR="009055E4">
        <w:rPr>
          <w:rFonts w:ascii="Times New Roman" w:hAnsi="Times New Roman" w:cs="Times New Roman"/>
          <w:sz w:val="28"/>
          <w:szCs w:val="28"/>
        </w:rPr>
        <w:t>единой цифровой валюты</w:t>
      </w:r>
      <w:r w:rsidR="00707D64" w:rsidRPr="00707D64">
        <w:rPr>
          <w:rFonts w:ascii="Times New Roman" w:hAnsi="Times New Roman" w:cs="Times New Roman"/>
          <w:sz w:val="28"/>
          <w:szCs w:val="28"/>
        </w:rPr>
        <w:t>.</w:t>
      </w:r>
      <w:r w:rsidR="009055E4">
        <w:rPr>
          <w:rFonts w:ascii="Times New Roman" w:hAnsi="Times New Roman" w:cs="Times New Roman"/>
          <w:sz w:val="28"/>
          <w:szCs w:val="28"/>
        </w:rPr>
        <w:t xml:space="preserve"> </w:t>
      </w:r>
      <w:r w:rsidR="00240E72" w:rsidRPr="00A4716D">
        <w:rPr>
          <w:rFonts w:ascii="Times New Roman" w:hAnsi="Times New Roman" w:cs="Times New Roman"/>
          <w:sz w:val="28"/>
          <w:szCs w:val="28"/>
        </w:rPr>
        <w:t>В октябре 2021 года Нигерия присоединилась к Багамам, восточно</w:t>
      </w:r>
      <w:r w:rsidR="00EA3729" w:rsidRPr="00A4716D">
        <w:rPr>
          <w:rFonts w:ascii="Times New Roman" w:hAnsi="Times New Roman" w:cs="Times New Roman"/>
          <w:sz w:val="28"/>
          <w:szCs w:val="28"/>
        </w:rPr>
        <w:t>-</w:t>
      </w:r>
      <w:r w:rsidR="00240E72" w:rsidRPr="00A4716D">
        <w:rPr>
          <w:rFonts w:ascii="Times New Roman" w:hAnsi="Times New Roman" w:cs="Times New Roman"/>
          <w:sz w:val="28"/>
          <w:szCs w:val="28"/>
        </w:rPr>
        <w:t xml:space="preserve">карибским государствам и Камбодже в качестве одной из первых юрисдикций, официально запустивших </w:t>
      </w:r>
      <w:r w:rsidR="004D32A2" w:rsidRPr="00A4716D">
        <w:rPr>
          <w:rFonts w:ascii="Times New Roman" w:hAnsi="Times New Roman" w:cs="Times New Roman"/>
          <w:sz w:val="28"/>
          <w:szCs w:val="28"/>
        </w:rPr>
        <w:t>ЦВЦБ</w:t>
      </w:r>
      <w:r w:rsidR="00240E72" w:rsidRPr="00A4716D">
        <w:rPr>
          <w:rFonts w:ascii="Times New Roman" w:hAnsi="Times New Roman" w:cs="Times New Roman"/>
          <w:sz w:val="28"/>
          <w:szCs w:val="28"/>
        </w:rPr>
        <w:t>. Согласно Атлантическо</w:t>
      </w:r>
      <w:r w:rsidR="007F202F" w:rsidRPr="00A4716D">
        <w:rPr>
          <w:rFonts w:ascii="Times New Roman" w:hAnsi="Times New Roman" w:cs="Times New Roman"/>
          <w:sz w:val="28"/>
          <w:szCs w:val="28"/>
        </w:rPr>
        <w:t>му</w:t>
      </w:r>
      <w:r w:rsidR="00240E72" w:rsidRPr="00A4716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F202F" w:rsidRPr="00A4716D">
        <w:rPr>
          <w:rFonts w:ascii="Times New Roman" w:hAnsi="Times New Roman" w:cs="Times New Roman"/>
          <w:sz w:val="28"/>
          <w:szCs w:val="28"/>
        </w:rPr>
        <w:t>у</w:t>
      </w:r>
      <w:r w:rsidR="002D072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240E72" w:rsidRPr="00A4716D">
        <w:rPr>
          <w:rFonts w:ascii="Times New Roman" w:hAnsi="Times New Roman" w:cs="Times New Roman"/>
          <w:sz w:val="28"/>
          <w:szCs w:val="28"/>
        </w:rPr>
        <w:t xml:space="preserve">, 14 стран запустили пилотные проекты </w:t>
      </w:r>
      <w:r w:rsidR="00EA3729" w:rsidRPr="00A4716D">
        <w:rPr>
          <w:rFonts w:ascii="Times New Roman" w:hAnsi="Times New Roman" w:cs="Times New Roman"/>
          <w:sz w:val="28"/>
          <w:szCs w:val="28"/>
        </w:rPr>
        <w:t>ЦВЦБ</w:t>
      </w:r>
      <w:r w:rsidR="00240E72" w:rsidRPr="00A4716D">
        <w:rPr>
          <w:rFonts w:ascii="Times New Roman" w:hAnsi="Times New Roman" w:cs="Times New Roman"/>
          <w:sz w:val="28"/>
          <w:szCs w:val="28"/>
        </w:rPr>
        <w:t>, 16 стран</w:t>
      </w:r>
      <w:r w:rsidR="007F202F" w:rsidRPr="00A4716D">
        <w:rPr>
          <w:rFonts w:ascii="Times New Roman" w:hAnsi="Times New Roman" w:cs="Times New Roman"/>
          <w:sz w:val="28"/>
          <w:szCs w:val="28"/>
        </w:rPr>
        <w:t xml:space="preserve"> находятся в их разработке, а еще 41 страна</w:t>
      </w:r>
      <w:r w:rsidR="00240E72" w:rsidRPr="00A4716D">
        <w:rPr>
          <w:rFonts w:ascii="Times New Roman" w:hAnsi="Times New Roman" w:cs="Times New Roman"/>
          <w:sz w:val="28"/>
          <w:szCs w:val="28"/>
        </w:rPr>
        <w:t xml:space="preserve"> проводит исследования</w:t>
      </w:r>
      <w:r w:rsidR="007F202F" w:rsidRPr="00A4716D">
        <w:rPr>
          <w:rFonts w:ascii="Times New Roman" w:hAnsi="Times New Roman" w:cs="Times New Roman"/>
          <w:sz w:val="28"/>
          <w:szCs w:val="28"/>
        </w:rPr>
        <w:t xml:space="preserve"> в это области</w:t>
      </w:r>
      <w:r w:rsidR="00240E72" w:rsidRPr="00A4716D">
        <w:rPr>
          <w:rFonts w:ascii="Times New Roman" w:hAnsi="Times New Roman" w:cs="Times New Roman"/>
          <w:sz w:val="28"/>
          <w:szCs w:val="28"/>
        </w:rPr>
        <w:t>.</w:t>
      </w:r>
    </w:p>
    <w:p w14:paraId="146B86D4" w14:textId="4EFCF700" w:rsidR="00505C5C" w:rsidRPr="00707D64" w:rsidRDefault="00505811" w:rsidP="00E11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811">
        <w:rPr>
          <w:rFonts w:ascii="Times New Roman" w:hAnsi="Times New Roman" w:cs="Times New Roman"/>
          <w:sz w:val="28"/>
          <w:szCs w:val="28"/>
        </w:rPr>
        <w:t xml:space="preserve">      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Безналичная экономика быстро развивается благодаря новым формам денег и новым цифровым платежным системам. Одним из примеров является цифровой кошелек Facebook Novi, который тестируется в Гватемале и США и позволяет пользователям отправлять и получать деньги «мгновенно, безопасно и без комиссии». Кошелек в настоящее время использует стабильные монеты и, в конечном итоге, вероятно, будет включать валюту Diem, поддерживаемую </w:t>
      </w:r>
      <w:r w:rsidR="00707D64">
        <w:rPr>
          <w:rFonts w:ascii="Times New Roman" w:hAnsi="Times New Roman" w:cs="Times New Roman"/>
          <w:sz w:val="28"/>
          <w:szCs w:val="28"/>
        </w:rPr>
        <w:t xml:space="preserve">корпорацией </w:t>
      </w:r>
      <w:r w:rsidR="00707D64">
        <w:rPr>
          <w:rFonts w:ascii="Times New Roman" w:hAnsi="Times New Roman" w:cs="Times New Roman"/>
          <w:sz w:val="28"/>
          <w:szCs w:val="28"/>
          <w:lang w:val="en-US"/>
        </w:rPr>
        <w:t>Meta</w:t>
      </w:r>
      <w:r w:rsidR="00707D64">
        <w:rPr>
          <w:rFonts w:ascii="Times New Roman" w:hAnsi="Times New Roman" w:cs="Times New Roman"/>
          <w:sz w:val="28"/>
          <w:szCs w:val="28"/>
        </w:rPr>
        <w:t xml:space="preserve">, в которую входит социальная сеть </w:t>
      </w:r>
      <w:r w:rsidR="00707D64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. Если мир перейдет на эти новые формы цифровых денег, существует риск того, что центральные банки могут быть лишены посредников и их власть над денежно-кредитной политикой уменьшится — отсюда и гонка за </w:t>
      </w:r>
      <w:r>
        <w:rPr>
          <w:rFonts w:ascii="Times New Roman" w:hAnsi="Times New Roman" w:cs="Times New Roman"/>
          <w:sz w:val="28"/>
          <w:szCs w:val="28"/>
        </w:rPr>
        <w:t>ЦВЦБ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. С другой стороны, если </w:t>
      </w:r>
      <w:r>
        <w:rPr>
          <w:rFonts w:ascii="Times New Roman" w:hAnsi="Times New Roman" w:cs="Times New Roman"/>
          <w:sz w:val="28"/>
          <w:szCs w:val="28"/>
        </w:rPr>
        <w:t>ЦВЦБ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 взлетят, существует риск того, что частные банки потеряют вкладчиков, что может привести к повышению процентных ставок для привлечения средств. В </w:t>
      </w:r>
      <w:r>
        <w:rPr>
          <w:rFonts w:ascii="Times New Roman" w:hAnsi="Times New Roman" w:cs="Times New Roman"/>
          <w:sz w:val="28"/>
          <w:szCs w:val="28"/>
        </w:rPr>
        <w:t xml:space="preserve">рамках одной из </w:t>
      </w:r>
      <w:r>
        <w:rPr>
          <w:rFonts w:ascii="Times New Roman" w:hAnsi="Times New Roman" w:cs="Times New Roman"/>
          <w:sz w:val="28"/>
          <w:szCs w:val="28"/>
        </w:rPr>
        <w:lastRenderedPageBreak/>
        <w:t>дискусси</w:t>
      </w:r>
      <w:r w:rsidR="00CD3AA7">
        <w:rPr>
          <w:rFonts w:ascii="Times New Roman" w:hAnsi="Times New Roman" w:cs="Times New Roman"/>
          <w:sz w:val="28"/>
          <w:szCs w:val="28"/>
        </w:rPr>
        <w:t xml:space="preserve">й экспертов </w:t>
      </w:r>
      <w:r w:rsidR="00505C5C" w:rsidRPr="00707D64">
        <w:rPr>
          <w:rFonts w:ascii="Times New Roman" w:hAnsi="Times New Roman" w:cs="Times New Roman"/>
          <w:sz w:val="28"/>
          <w:szCs w:val="28"/>
        </w:rPr>
        <w:t>МВФ сдела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CD3AA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 о том, что «</w:t>
      </w:r>
      <w:r>
        <w:rPr>
          <w:rFonts w:ascii="Times New Roman" w:hAnsi="Times New Roman" w:cs="Times New Roman"/>
          <w:sz w:val="28"/>
          <w:szCs w:val="28"/>
        </w:rPr>
        <w:t>ЦВЦБ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 может стать следующей вехой в эволюции денег», хотя в </w:t>
      </w:r>
      <w:r>
        <w:rPr>
          <w:rFonts w:ascii="Times New Roman" w:hAnsi="Times New Roman" w:cs="Times New Roman"/>
          <w:sz w:val="28"/>
          <w:szCs w:val="28"/>
        </w:rPr>
        <w:t>сообщении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 также отмечается, что «пока нет </w:t>
      </w:r>
      <w:r>
        <w:rPr>
          <w:rFonts w:ascii="Times New Roman" w:hAnsi="Times New Roman" w:cs="Times New Roman"/>
          <w:sz w:val="28"/>
          <w:szCs w:val="28"/>
        </w:rPr>
        <w:t>однозначного основания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 для принятия </w:t>
      </w:r>
      <w:r>
        <w:rPr>
          <w:rFonts w:ascii="Times New Roman" w:hAnsi="Times New Roman" w:cs="Times New Roman"/>
          <w:sz w:val="28"/>
          <w:szCs w:val="28"/>
        </w:rPr>
        <w:t>ЦВЦБ</w:t>
      </w:r>
      <w:r w:rsidR="00505C5C" w:rsidRPr="00707D64">
        <w:rPr>
          <w:rFonts w:ascii="Times New Roman" w:hAnsi="Times New Roman" w:cs="Times New Roman"/>
          <w:sz w:val="28"/>
          <w:szCs w:val="28"/>
        </w:rPr>
        <w:t>».</w:t>
      </w:r>
    </w:p>
    <w:p w14:paraId="7AD2E606" w14:textId="0133ED5C" w:rsidR="00505C5C" w:rsidRDefault="00CD3AA7" w:rsidP="00E11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ЦВЦБ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 открывают новые возможности для социальной устойчивости. Существуют возможности для банковского обслуживания лиц, не охваченных банковскими услугами, с помощью улучшенной идентификации и систем «Знай своего клиента» (</w:t>
      </w:r>
      <w:r>
        <w:rPr>
          <w:rFonts w:ascii="Times New Roman" w:hAnsi="Times New Roman" w:cs="Times New Roman"/>
          <w:sz w:val="28"/>
          <w:szCs w:val="28"/>
        </w:rPr>
        <w:t>от англ. «</w:t>
      </w:r>
      <w:r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CD3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CD3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client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3AA7">
        <w:rPr>
          <w:rFonts w:ascii="Times New Roman" w:hAnsi="Times New Roman" w:cs="Times New Roman"/>
          <w:sz w:val="28"/>
          <w:szCs w:val="28"/>
        </w:rPr>
        <w:t xml:space="preserve"> (</w:t>
      </w:r>
      <w:r w:rsidR="00505C5C" w:rsidRPr="00707D64">
        <w:rPr>
          <w:rFonts w:ascii="Times New Roman" w:hAnsi="Times New Roman" w:cs="Times New Roman"/>
          <w:sz w:val="28"/>
          <w:szCs w:val="28"/>
        </w:rPr>
        <w:t>KYC)</w:t>
      </w:r>
      <w:r w:rsidRPr="00CD3AA7">
        <w:rPr>
          <w:rFonts w:ascii="Times New Roman" w:hAnsi="Times New Roman" w:cs="Times New Roman"/>
          <w:sz w:val="28"/>
          <w:szCs w:val="28"/>
        </w:rPr>
        <w:t>)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ЦВЦБ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 также могут помочь уменьшить мошенничество за счет повышенной прозрачности и, как следствие, повысить доверие к транзакциям и денежной стоимости. </w:t>
      </w:r>
      <w:r>
        <w:rPr>
          <w:rFonts w:ascii="Times New Roman" w:hAnsi="Times New Roman" w:cs="Times New Roman"/>
          <w:sz w:val="28"/>
          <w:szCs w:val="28"/>
        </w:rPr>
        <w:t>ЦВЦБ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 также предлагают возможность прямых выплат универсального базового дохода (</w:t>
      </w:r>
      <w:r>
        <w:rPr>
          <w:rFonts w:ascii="Times New Roman" w:hAnsi="Times New Roman" w:cs="Times New Roman"/>
          <w:sz w:val="28"/>
          <w:szCs w:val="28"/>
        </w:rPr>
        <w:t>от англ. «</w:t>
      </w:r>
      <w:r>
        <w:rPr>
          <w:rFonts w:ascii="Times New Roman" w:hAnsi="Times New Roman" w:cs="Times New Roman"/>
          <w:sz w:val="28"/>
          <w:szCs w:val="28"/>
          <w:lang w:val="en-US"/>
        </w:rPr>
        <w:t>Universal</w:t>
      </w:r>
      <w:r w:rsidRPr="00CD3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CD3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income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3AA7">
        <w:rPr>
          <w:rFonts w:ascii="Times New Roman" w:hAnsi="Times New Roman" w:cs="Times New Roman"/>
          <w:sz w:val="28"/>
          <w:szCs w:val="28"/>
        </w:rPr>
        <w:t xml:space="preserve"> (</w:t>
      </w:r>
      <w:r w:rsidR="00505C5C" w:rsidRPr="00707D64">
        <w:rPr>
          <w:rFonts w:ascii="Times New Roman" w:hAnsi="Times New Roman" w:cs="Times New Roman"/>
          <w:sz w:val="28"/>
          <w:szCs w:val="28"/>
        </w:rPr>
        <w:t>UBI)</w:t>
      </w:r>
      <w:r w:rsidRPr="00CD3AA7">
        <w:rPr>
          <w:rFonts w:ascii="Times New Roman" w:hAnsi="Times New Roman" w:cs="Times New Roman"/>
          <w:sz w:val="28"/>
          <w:szCs w:val="28"/>
        </w:rPr>
        <w:t>)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, </w:t>
      </w:r>
      <w:r w:rsidR="007C19CD">
        <w:rPr>
          <w:rFonts w:ascii="Times New Roman" w:hAnsi="Times New Roman" w:cs="Times New Roman"/>
          <w:sz w:val="28"/>
          <w:szCs w:val="28"/>
        </w:rPr>
        <w:t xml:space="preserve">включающие </w:t>
      </w:r>
      <w:r w:rsidR="007C19CD" w:rsidRPr="00707D64">
        <w:rPr>
          <w:rFonts w:ascii="Times New Roman" w:hAnsi="Times New Roman" w:cs="Times New Roman"/>
          <w:sz w:val="28"/>
          <w:szCs w:val="28"/>
        </w:rPr>
        <w:t>программируемые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 деньги, такие как токены, срок действия которых истечет, если их не потратить. Тем не менее, цифровое безналичное общество, зависящее от систем </w:t>
      </w:r>
      <w:r w:rsidR="007C19CD">
        <w:rPr>
          <w:rFonts w:ascii="Times New Roman" w:hAnsi="Times New Roman" w:cs="Times New Roman"/>
          <w:sz w:val="28"/>
          <w:szCs w:val="28"/>
        </w:rPr>
        <w:t>Ц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ентрального банка для всех транзакций, создает проблемы для конфиденциальности и </w:t>
      </w:r>
      <w:r w:rsidR="007C19CD">
        <w:rPr>
          <w:rFonts w:ascii="Times New Roman" w:hAnsi="Times New Roman" w:cs="Times New Roman"/>
          <w:sz w:val="28"/>
          <w:szCs w:val="28"/>
        </w:rPr>
        <w:t xml:space="preserve">несет риск </w:t>
      </w:r>
      <w:r w:rsidR="00505C5C" w:rsidRPr="00707D64">
        <w:rPr>
          <w:rFonts w:ascii="Times New Roman" w:hAnsi="Times New Roman" w:cs="Times New Roman"/>
          <w:sz w:val="28"/>
          <w:szCs w:val="28"/>
        </w:rPr>
        <w:t>злоупотреблени</w:t>
      </w:r>
      <w:r w:rsidR="007C19CD">
        <w:rPr>
          <w:rFonts w:ascii="Times New Roman" w:hAnsi="Times New Roman" w:cs="Times New Roman"/>
          <w:sz w:val="28"/>
          <w:szCs w:val="28"/>
        </w:rPr>
        <w:t>я со стороны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7C19CD">
        <w:rPr>
          <w:rFonts w:ascii="Times New Roman" w:hAnsi="Times New Roman" w:cs="Times New Roman"/>
          <w:sz w:val="28"/>
          <w:szCs w:val="28"/>
        </w:rPr>
        <w:t>а, например,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 </w:t>
      </w:r>
      <w:r w:rsidR="008F0579">
        <w:rPr>
          <w:rFonts w:ascii="Times New Roman" w:hAnsi="Times New Roman" w:cs="Times New Roman"/>
          <w:sz w:val="28"/>
          <w:szCs w:val="28"/>
        </w:rPr>
        <w:t>в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 </w:t>
      </w:r>
      <w:r w:rsidR="008F0579">
        <w:rPr>
          <w:rFonts w:ascii="Times New Roman" w:hAnsi="Times New Roman" w:cs="Times New Roman"/>
          <w:sz w:val="28"/>
          <w:szCs w:val="28"/>
        </w:rPr>
        <w:t>излишнем контроле</w:t>
      </w:r>
      <w:r w:rsidR="00505C5C" w:rsidRPr="00707D64">
        <w:rPr>
          <w:rFonts w:ascii="Times New Roman" w:hAnsi="Times New Roman" w:cs="Times New Roman"/>
          <w:sz w:val="28"/>
          <w:szCs w:val="28"/>
        </w:rPr>
        <w:t xml:space="preserve"> за гражданами.</w:t>
      </w:r>
    </w:p>
    <w:p w14:paraId="69806554" w14:textId="57D6D503" w:rsidR="007C19CD" w:rsidRPr="007C19CD" w:rsidRDefault="007C19CD" w:rsidP="00E11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то же время д</w:t>
      </w:r>
      <w:r w:rsidRPr="007C19CD">
        <w:rPr>
          <w:rFonts w:ascii="Times New Roman" w:hAnsi="Times New Roman" w:cs="Times New Roman"/>
          <w:sz w:val="28"/>
          <w:szCs w:val="28"/>
        </w:rPr>
        <w:t xml:space="preserve">ля кредитных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стратегические риски </w:t>
      </w:r>
      <w:r w:rsidRPr="007C19CD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19CD">
        <w:rPr>
          <w:rFonts w:ascii="Times New Roman" w:hAnsi="Times New Roman" w:cs="Times New Roman"/>
          <w:sz w:val="28"/>
          <w:szCs w:val="28"/>
        </w:rPr>
        <w:t xml:space="preserve"> бы огромным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19CD"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</w:rPr>
        <w:t>ЦВЦБ</w:t>
      </w:r>
      <w:r w:rsidRPr="007C19CD">
        <w:rPr>
          <w:rFonts w:ascii="Times New Roman" w:hAnsi="Times New Roman" w:cs="Times New Roman"/>
          <w:sz w:val="28"/>
          <w:szCs w:val="28"/>
        </w:rPr>
        <w:t xml:space="preserve"> были приняты в </w:t>
      </w:r>
      <w:r w:rsidR="005B0364">
        <w:rPr>
          <w:rFonts w:ascii="Times New Roman" w:hAnsi="Times New Roman" w:cs="Times New Roman"/>
          <w:sz w:val="28"/>
          <w:szCs w:val="28"/>
        </w:rPr>
        <w:t>глобальных</w:t>
      </w:r>
      <w:r w:rsidRPr="007C19CD">
        <w:rPr>
          <w:rFonts w:ascii="Times New Roman" w:hAnsi="Times New Roman" w:cs="Times New Roman"/>
          <w:sz w:val="28"/>
          <w:szCs w:val="28"/>
        </w:rPr>
        <w:t xml:space="preserve"> масштабах. Если у потребителей был</w:t>
      </w:r>
      <w:r w:rsidR="005B0364">
        <w:rPr>
          <w:rFonts w:ascii="Times New Roman" w:hAnsi="Times New Roman" w:cs="Times New Roman"/>
          <w:sz w:val="28"/>
          <w:szCs w:val="28"/>
        </w:rPr>
        <w:t xml:space="preserve"> бы</w:t>
      </w:r>
      <w:r w:rsidRPr="007C19CD">
        <w:rPr>
          <w:rFonts w:ascii="Times New Roman" w:hAnsi="Times New Roman" w:cs="Times New Roman"/>
          <w:sz w:val="28"/>
          <w:szCs w:val="28"/>
        </w:rPr>
        <w:t xml:space="preserve"> доступ к процентным</w:t>
      </w:r>
      <w:r w:rsidR="005B0364">
        <w:rPr>
          <w:rFonts w:ascii="Times New Roman" w:hAnsi="Times New Roman" w:cs="Times New Roman"/>
          <w:sz w:val="28"/>
          <w:szCs w:val="28"/>
        </w:rPr>
        <w:t xml:space="preserve"> ставкам</w:t>
      </w:r>
      <w:r w:rsidRPr="007C19CD">
        <w:rPr>
          <w:rFonts w:ascii="Times New Roman" w:hAnsi="Times New Roman" w:cs="Times New Roman"/>
          <w:sz w:val="28"/>
          <w:szCs w:val="28"/>
        </w:rPr>
        <w:t xml:space="preserve"> </w:t>
      </w:r>
      <w:r w:rsidR="005B0364">
        <w:rPr>
          <w:rFonts w:ascii="Times New Roman" w:hAnsi="Times New Roman" w:cs="Times New Roman"/>
          <w:sz w:val="28"/>
          <w:szCs w:val="28"/>
        </w:rPr>
        <w:t>ЦВЦБ</w:t>
      </w:r>
      <w:r w:rsidRPr="007C19CD">
        <w:rPr>
          <w:rFonts w:ascii="Times New Roman" w:hAnsi="Times New Roman" w:cs="Times New Roman"/>
          <w:sz w:val="28"/>
          <w:szCs w:val="28"/>
        </w:rPr>
        <w:t xml:space="preserve"> </w:t>
      </w:r>
      <w:r w:rsidR="005B0364" w:rsidRPr="007C19CD">
        <w:rPr>
          <w:rFonts w:ascii="Times New Roman" w:hAnsi="Times New Roman" w:cs="Times New Roman"/>
          <w:sz w:val="28"/>
          <w:szCs w:val="28"/>
        </w:rPr>
        <w:t>и,</w:t>
      </w:r>
      <w:r w:rsidRPr="007C19CD">
        <w:rPr>
          <w:rFonts w:ascii="Times New Roman" w:hAnsi="Times New Roman" w:cs="Times New Roman"/>
          <w:sz w:val="28"/>
          <w:szCs w:val="28"/>
        </w:rPr>
        <w:t xml:space="preserve"> если бы они могли легко и безопасно перемещать такой инструмент, им не был бы нужен банковский счет. Действительно</w:t>
      </w:r>
      <w:r w:rsidR="005B0364">
        <w:rPr>
          <w:rFonts w:ascii="Times New Roman" w:hAnsi="Times New Roman" w:cs="Times New Roman"/>
          <w:sz w:val="28"/>
          <w:szCs w:val="28"/>
        </w:rPr>
        <w:t>, в этом случае можно было бы</w:t>
      </w:r>
      <w:r w:rsidRPr="007C19CD">
        <w:rPr>
          <w:rFonts w:ascii="Times New Roman" w:hAnsi="Times New Roman" w:cs="Times New Roman"/>
          <w:sz w:val="28"/>
          <w:szCs w:val="28"/>
        </w:rPr>
        <w:t xml:space="preserve"> осуществлять платежи напрямую розничным торговцам и другим поставщикам услуг, но и получать кредиты напрямую от других пользователей </w:t>
      </w:r>
      <w:r w:rsidR="005B0364">
        <w:rPr>
          <w:rFonts w:ascii="Times New Roman" w:hAnsi="Times New Roman" w:cs="Times New Roman"/>
          <w:sz w:val="28"/>
          <w:szCs w:val="28"/>
        </w:rPr>
        <w:t>ЦВЦБ</w:t>
      </w:r>
      <w:r w:rsidRPr="007C19CD">
        <w:rPr>
          <w:rFonts w:ascii="Times New Roman" w:hAnsi="Times New Roman" w:cs="Times New Roman"/>
          <w:sz w:val="28"/>
          <w:szCs w:val="28"/>
        </w:rPr>
        <w:t>.</w:t>
      </w:r>
    </w:p>
    <w:p w14:paraId="3B34EE39" w14:textId="440AC2FE" w:rsidR="007C19CD" w:rsidRPr="007C19CD" w:rsidRDefault="005B0364" w:rsidP="00E11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CD" w:rsidRPr="007C19CD">
        <w:rPr>
          <w:rFonts w:ascii="Times New Roman" w:hAnsi="Times New Roman" w:cs="Times New Roman"/>
          <w:sz w:val="28"/>
          <w:szCs w:val="28"/>
        </w:rPr>
        <w:t xml:space="preserve">Более того, если они будут восприниматься как более безопасные, чем традиционная валюта, </w:t>
      </w:r>
      <w:r>
        <w:rPr>
          <w:rFonts w:ascii="Times New Roman" w:hAnsi="Times New Roman" w:cs="Times New Roman"/>
          <w:sz w:val="28"/>
          <w:szCs w:val="28"/>
        </w:rPr>
        <w:t>ЦВЦБ</w:t>
      </w:r>
      <w:r w:rsidR="007C19CD" w:rsidRPr="007C19CD">
        <w:rPr>
          <w:rFonts w:ascii="Times New Roman" w:hAnsi="Times New Roman" w:cs="Times New Roman"/>
          <w:sz w:val="28"/>
          <w:szCs w:val="28"/>
        </w:rPr>
        <w:t xml:space="preserve"> могут еще больше ослабить экономическую эффективность традиционных финансовых учреждений.</w:t>
      </w:r>
    </w:p>
    <w:p w14:paraId="40858439" w14:textId="517D8962" w:rsidR="007C19CD" w:rsidRPr="007C19CD" w:rsidRDefault="005B0364" w:rsidP="00E11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19CD" w:rsidRPr="007C19CD">
        <w:rPr>
          <w:rFonts w:ascii="Times New Roman" w:hAnsi="Times New Roman" w:cs="Times New Roman"/>
          <w:sz w:val="28"/>
          <w:szCs w:val="28"/>
        </w:rPr>
        <w:t xml:space="preserve">Сегодня государственное страхование вкладов предоставляет потребителям гарантию того, что средства, которые они вкладывают в банки, будут защищены в случае краха финансового учреждения. Но </w:t>
      </w:r>
      <w:r>
        <w:rPr>
          <w:rFonts w:ascii="Times New Roman" w:hAnsi="Times New Roman" w:cs="Times New Roman"/>
          <w:sz w:val="28"/>
          <w:szCs w:val="28"/>
        </w:rPr>
        <w:t>ЦВЦБ</w:t>
      </w:r>
      <w:r w:rsidR="007C19CD" w:rsidRPr="007C1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рассматривать </w:t>
      </w:r>
      <w:r w:rsidR="007C19CD" w:rsidRPr="007C19CD">
        <w:rPr>
          <w:rFonts w:ascii="Times New Roman" w:hAnsi="Times New Roman" w:cs="Times New Roman"/>
          <w:sz w:val="28"/>
          <w:szCs w:val="28"/>
        </w:rPr>
        <w:t>как еще более надежную гарантию, поскольку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19CD" w:rsidRPr="007C19CD">
        <w:rPr>
          <w:rFonts w:ascii="Times New Roman" w:hAnsi="Times New Roman" w:cs="Times New Roman"/>
          <w:sz w:val="28"/>
          <w:szCs w:val="28"/>
        </w:rPr>
        <w:t xml:space="preserve"> исходит непосредственно от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7C19CD" w:rsidRPr="007C19CD">
        <w:rPr>
          <w:rFonts w:ascii="Times New Roman" w:hAnsi="Times New Roman" w:cs="Times New Roman"/>
          <w:sz w:val="28"/>
          <w:szCs w:val="28"/>
        </w:rPr>
        <w:t>ентрального банка — без каких-либо ограничений или риска того, что правительство может нарушить свои обещания. В результате коммерческим банкам и кредитным союзам, возможно, придется платить более высокие процентные ставки, чтобы привлечь заемщиков, и они могут столкнуться с массовым изъятием средств в</w:t>
      </w:r>
      <w:r>
        <w:rPr>
          <w:rFonts w:ascii="Times New Roman" w:hAnsi="Times New Roman" w:cs="Times New Roman"/>
          <w:sz w:val="28"/>
          <w:szCs w:val="28"/>
        </w:rPr>
        <w:t xml:space="preserve"> кризисные</w:t>
      </w:r>
      <w:r w:rsidR="007C19CD" w:rsidRPr="007C19CD">
        <w:rPr>
          <w:rFonts w:ascii="Times New Roman" w:hAnsi="Times New Roman" w:cs="Times New Roman"/>
          <w:sz w:val="28"/>
          <w:szCs w:val="28"/>
        </w:rPr>
        <w:t xml:space="preserve"> периоды, поскольку вкладчики будут искать более безопасные альтернативы.</w:t>
      </w:r>
    </w:p>
    <w:p w14:paraId="4025A3FC" w14:textId="48C8C942" w:rsidR="007C19CD" w:rsidRDefault="005B0364" w:rsidP="00E11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</w:t>
      </w:r>
      <w:r w:rsidR="007C19CD" w:rsidRPr="007C19CD">
        <w:rPr>
          <w:rFonts w:ascii="Times New Roman" w:hAnsi="Times New Roman" w:cs="Times New Roman"/>
          <w:sz w:val="28"/>
          <w:szCs w:val="28"/>
        </w:rPr>
        <w:t xml:space="preserve">отя внедрение </w:t>
      </w:r>
      <w:r>
        <w:rPr>
          <w:rFonts w:ascii="Times New Roman" w:hAnsi="Times New Roman" w:cs="Times New Roman"/>
          <w:sz w:val="28"/>
          <w:szCs w:val="28"/>
        </w:rPr>
        <w:t>ЦВЦБ</w:t>
      </w:r>
      <w:r w:rsidR="007C19CD" w:rsidRPr="007C19CD">
        <w:rPr>
          <w:rFonts w:ascii="Times New Roman" w:hAnsi="Times New Roman" w:cs="Times New Roman"/>
          <w:sz w:val="28"/>
          <w:szCs w:val="28"/>
        </w:rPr>
        <w:t xml:space="preserve"> может представлять собой экзистенциальную угрозу для финансовой отрасли, вероятность того, что это произойдет в ближайшее время, маловероятна — учитывая размер и масштаб текущей </w:t>
      </w:r>
      <w:r w:rsidR="007C19CD" w:rsidRPr="007C19CD">
        <w:rPr>
          <w:rFonts w:ascii="Times New Roman" w:hAnsi="Times New Roman" w:cs="Times New Roman"/>
          <w:sz w:val="28"/>
          <w:szCs w:val="28"/>
        </w:rPr>
        <w:lastRenderedPageBreak/>
        <w:t>системы, а также опасения по поводу конфиденциальности, безопасности и скорости транзакций.</w:t>
      </w:r>
    </w:p>
    <w:p w14:paraId="2B48F305" w14:textId="311E4C45" w:rsidR="00383FD3" w:rsidRPr="00383FD3" w:rsidRDefault="00383FD3" w:rsidP="00E11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83FD3">
        <w:rPr>
          <w:rFonts w:ascii="Times New Roman" w:hAnsi="Times New Roman" w:cs="Times New Roman"/>
          <w:sz w:val="28"/>
          <w:szCs w:val="28"/>
        </w:rPr>
        <w:t xml:space="preserve">Появление </w:t>
      </w:r>
      <w:r>
        <w:rPr>
          <w:rFonts w:ascii="Times New Roman" w:hAnsi="Times New Roman" w:cs="Times New Roman"/>
          <w:sz w:val="28"/>
          <w:szCs w:val="28"/>
        </w:rPr>
        <w:t>ЦВЦБ</w:t>
      </w:r>
      <w:r w:rsidRPr="00383FD3">
        <w:rPr>
          <w:rFonts w:ascii="Times New Roman" w:hAnsi="Times New Roman" w:cs="Times New Roman"/>
          <w:sz w:val="28"/>
          <w:szCs w:val="28"/>
        </w:rPr>
        <w:t xml:space="preserve"> можно рассматривать как </w:t>
      </w:r>
      <w:r>
        <w:rPr>
          <w:rFonts w:ascii="Times New Roman" w:hAnsi="Times New Roman" w:cs="Times New Roman"/>
          <w:sz w:val="28"/>
          <w:szCs w:val="28"/>
        </w:rPr>
        <w:t>медаль с двумя сторонами с точки зрения</w:t>
      </w:r>
      <w:r w:rsidRPr="00383FD3">
        <w:rPr>
          <w:rFonts w:ascii="Times New Roman" w:hAnsi="Times New Roman" w:cs="Times New Roman"/>
          <w:sz w:val="28"/>
          <w:szCs w:val="28"/>
        </w:rPr>
        <w:t xml:space="preserve"> для устойчив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r w:rsidRPr="00383FD3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. С одной стороны, </w:t>
      </w:r>
      <w:r>
        <w:rPr>
          <w:rFonts w:ascii="Times New Roman" w:hAnsi="Times New Roman" w:cs="Times New Roman"/>
          <w:sz w:val="28"/>
          <w:szCs w:val="28"/>
        </w:rPr>
        <w:t>ЦВЦБ</w:t>
      </w:r>
      <w:r w:rsidRPr="00383FD3">
        <w:rPr>
          <w:rFonts w:ascii="Times New Roman" w:hAnsi="Times New Roman" w:cs="Times New Roman"/>
          <w:sz w:val="28"/>
          <w:szCs w:val="28"/>
        </w:rPr>
        <w:t xml:space="preserve"> способны расширить финансовую доступность, повысить прозрачность и упростить транзакции в финансовой системе, но в то же время представля</w:t>
      </w:r>
      <w:r w:rsidR="00E6617A">
        <w:rPr>
          <w:rFonts w:ascii="Times New Roman" w:hAnsi="Times New Roman" w:cs="Times New Roman"/>
          <w:sz w:val="28"/>
          <w:szCs w:val="28"/>
        </w:rPr>
        <w:t>ю</w:t>
      </w:r>
      <w:r w:rsidRPr="00383FD3">
        <w:rPr>
          <w:rFonts w:ascii="Times New Roman" w:hAnsi="Times New Roman" w:cs="Times New Roman"/>
          <w:sz w:val="28"/>
          <w:szCs w:val="28"/>
        </w:rPr>
        <w:t xml:space="preserve">т серьезную угрозу для конфиденциальности и защиты лиц от государства. Поскольку большинство </w:t>
      </w:r>
      <w:r w:rsidR="00E6617A">
        <w:rPr>
          <w:rFonts w:ascii="Times New Roman" w:hAnsi="Times New Roman" w:cs="Times New Roman"/>
          <w:sz w:val="28"/>
          <w:szCs w:val="28"/>
        </w:rPr>
        <w:t>ЦВЦБ</w:t>
      </w:r>
      <w:r w:rsidRPr="00383FD3">
        <w:rPr>
          <w:rFonts w:ascii="Times New Roman" w:hAnsi="Times New Roman" w:cs="Times New Roman"/>
          <w:sz w:val="28"/>
          <w:szCs w:val="28"/>
        </w:rPr>
        <w:t xml:space="preserve"> все еще находятся на стадии исследовательского проектирования, теперь у предприятий есть возможность выступать за надлежащ</w:t>
      </w:r>
      <w:r w:rsidR="00E6617A">
        <w:rPr>
          <w:rFonts w:ascii="Times New Roman" w:hAnsi="Times New Roman" w:cs="Times New Roman"/>
          <w:sz w:val="28"/>
          <w:szCs w:val="28"/>
        </w:rPr>
        <w:t xml:space="preserve">ую реализацию </w:t>
      </w:r>
      <w:r w:rsidRPr="00383FD3">
        <w:rPr>
          <w:rFonts w:ascii="Times New Roman" w:hAnsi="Times New Roman" w:cs="Times New Roman"/>
          <w:sz w:val="28"/>
          <w:szCs w:val="28"/>
        </w:rPr>
        <w:t>на национальном и международном уровнях для защиты своих сотрудников, работников</w:t>
      </w:r>
      <w:r w:rsidR="00E6617A">
        <w:rPr>
          <w:rFonts w:ascii="Times New Roman" w:hAnsi="Times New Roman" w:cs="Times New Roman"/>
          <w:sz w:val="28"/>
          <w:szCs w:val="28"/>
        </w:rPr>
        <w:t>,</w:t>
      </w:r>
      <w:r w:rsidRPr="00383FD3">
        <w:rPr>
          <w:rFonts w:ascii="Times New Roman" w:hAnsi="Times New Roman" w:cs="Times New Roman"/>
          <w:sz w:val="28"/>
          <w:szCs w:val="28"/>
        </w:rPr>
        <w:t xml:space="preserve"> цепоч</w:t>
      </w:r>
      <w:r w:rsidR="00E6617A">
        <w:rPr>
          <w:rFonts w:ascii="Times New Roman" w:hAnsi="Times New Roman" w:cs="Times New Roman"/>
          <w:sz w:val="28"/>
          <w:szCs w:val="28"/>
        </w:rPr>
        <w:t>ек</w:t>
      </w:r>
      <w:r w:rsidRPr="00383FD3">
        <w:rPr>
          <w:rFonts w:ascii="Times New Roman" w:hAnsi="Times New Roman" w:cs="Times New Roman"/>
          <w:sz w:val="28"/>
          <w:szCs w:val="28"/>
        </w:rPr>
        <w:t xml:space="preserve"> поставок и </w:t>
      </w:r>
      <w:r w:rsidR="00E6617A">
        <w:rPr>
          <w:rFonts w:ascii="Times New Roman" w:hAnsi="Times New Roman" w:cs="Times New Roman"/>
          <w:sz w:val="28"/>
          <w:szCs w:val="28"/>
        </w:rPr>
        <w:t>спроса</w:t>
      </w:r>
      <w:r w:rsidRPr="00383FD3">
        <w:rPr>
          <w:rFonts w:ascii="Times New Roman" w:hAnsi="Times New Roman" w:cs="Times New Roman"/>
          <w:sz w:val="28"/>
          <w:szCs w:val="28"/>
        </w:rPr>
        <w:t xml:space="preserve">. Они могут влиять на то, являются ли защита прав человека, простота ведения бизнеса и экономическое процветание ключевыми принципами </w:t>
      </w:r>
      <w:r w:rsidR="00E6617A">
        <w:rPr>
          <w:rFonts w:ascii="Times New Roman" w:hAnsi="Times New Roman" w:cs="Times New Roman"/>
          <w:sz w:val="28"/>
          <w:szCs w:val="28"/>
        </w:rPr>
        <w:t>ЦВЦБ</w:t>
      </w:r>
      <w:r w:rsidRPr="00383FD3">
        <w:rPr>
          <w:rFonts w:ascii="Times New Roman" w:hAnsi="Times New Roman" w:cs="Times New Roman"/>
          <w:sz w:val="28"/>
          <w:szCs w:val="28"/>
        </w:rPr>
        <w:t>, и направлены на то, чтобы они улучшали способность бизнеса работать с сообществами и создавали новые, справедливые экономические возможности.</w:t>
      </w:r>
    </w:p>
    <w:p w14:paraId="1469CD86" w14:textId="74F6DB0E" w:rsidR="00383FD3" w:rsidRPr="00383FD3" w:rsidRDefault="00E6617A" w:rsidP="00E11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471B">
        <w:rPr>
          <w:rFonts w:ascii="Times New Roman" w:hAnsi="Times New Roman" w:cs="Times New Roman"/>
          <w:sz w:val="28"/>
          <w:szCs w:val="28"/>
        </w:rPr>
        <w:t>ЦВЦБ</w:t>
      </w:r>
      <w:r w:rsidR="00383FD3" w:rsidRPr="00383FD3">
        <w:rPr>
          <w:rFonts w:ascii="Times New Roman" w:hAnsi="Times New Roman" w:cs="Times New Roman"/>
          <w:sz w:val="28"/>
          <w:szCs w:val="28"/>
        </w:rPr>
        <w:t xml:space="preserve"> могут расширить инструменты, используемые правительствами для распределения денег, с новыми возможностями для прямых выплат UBI, помощи или социальных пособий, таких как автоматизация в ответ на определенные условия или триггерные события, от экономических спадов до пандемий и стихийных бедствий.</w:t>
      </w:r>
    </w:p>
    <w:p w14:paraId="1D36ED07" w14:textId="7C0E036F" w:rsidR="00383FD3" w:rsidRPr="00383FD3" w:rsidRDefault="00A1471B" w:rsidP="00E11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3FD3" w:rsidRPr="00383FD3">
        <w:rPr>
          <w:rFonts w:ascii="Times New Roman" w:hAnsi="Times New Roman" w:cs="Times New Roman"/>
          <w:sz w:val="28"/>
          <w:szCs w:val="28"/>
        </w:rPr>
        <w:t xml:space="preserve">Одним из ключевых преимуществ </w:t>
      </w:r>
      <w:r>
        <w:rPr>
          <w:rFonts w:ascii="Times New Roman" w:hAnsi="Times New Roman" w:cs="Times New Roman"/>
          <w:sz w:val="28"/>
          <w:szCs w:val="28"/>
        </w:rPr>
        <w:t>единой цифровой валюты</w:t>
      </w:r>
      <w:r w:rsidR="00383FD3" w:rsidRPr="00383FD3">
        <w:rPr>
          <w:rFonts w:ascii="Times New Roman" w:hAnsi="Times New Roman" w:cs="Times New Roman"/>
          <w:sz w:val="28"/>
          <w:szCs w:val="28"/>
        </w:rPr>
        <w:t xml:space="preserve"> является потенциал для расширения доступа к финансовым услугам за счет вовлечения в финансовую систему лиц, не охваченных банковским обслуживанием, и расширения доступа к основным товарам, услугам и электронной коммерции, что может расширить рыночные возможности. Люди, не пользующиеся банковскими услугами, могут сразу перейти к цифровым валютам, наряду с цифровыми системами идентификации и процессами проверки. </w:t>
      </w:r>
      <w:r>
        <w:rPr>
          <w:rFonts w:ascii="Times New Roman" w:hAnsi="Times New Roman" w:cs="Times New Roman"/>
          <w:sz w:val="28"/>
          <w:szCs w:val="28"/>
        </w:rPr>
        <w:t>Цифровые валюты</w:t>
      </w:r>
      <w:r w:rsidR="00383FD3" w:rsidRPr="00383FD3">
        <w:rPr>
          <w:rFonts w:ascii="Times New Roman" w:hAnsi="Times New Roman" w:cs="Times New Roman"/>
          <w:sz w:val="28"/>
          <w:szCs w:val="28"/>
        </w:rPr>
        <w:t xml:space="preserve"> также могут улучшить возможности трудоустройства и доступность личных кредитов или кредитов для малого бизнеса, обеспечивая более разнообразные пулы сотрудников и поставщиков. В финансовом и страховом секторах можно создавать новые продукты и услуги и адаптировать их для новых банков. Однако финансовая доступность — в конкретной форме цифровых валют — в первую очередь зависит от цифровой интеграции.</w:t>
      </w:r>
    </w:p>
    <w:p w14:paraId="49FBA29C" w14:textId="3323F776" w:rsidR="00383FD3" w:rsidRPr="00383FD3" w:rsidRDefault="00A1471B" w:rsidP="00E11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3FD3" w:rsidRPr="00383FD3">
        <w:rPr>
          <w:rFonts w:ascii="Times New Roman" w:hAnsi="Times New Roman" w:cs="Times New Roman"/>
          <w:sz w:val="28"/>
          <w:szCs w:val="28"/>
        </w:rPr>
        <w:t xml:space="preserve">Есть несколько проблем и практических шагов, которые предприятия и поставщики финансовых услуг должны рассмотреть, прежде чем они начнут выплачивать заработную плату и/или счета в цифровых валютах. Предприятия могут проектировать равный доступ, учитывая, как и где в настоящее время совершают сделки люди, особенно те, кто находится в маргинальном положении и занят в неформальной экономике. Помимо доступа, согласие также имеет ключевое значение. Обучение и поддержка будут необходимы, чтобы люди могли принимать обоснованные решения о том, стоит ли внедрять </w:t>
      </w:r>
      <w:r>
        <w:rPr>
          <w:rFonts w:ascii="Times New Roman" w:hAnsi="Times New Roman" w:cs="Times New Roman"/>
          <w:sz w:val="28"/>
          <w:szCs w:val="28"/>
        </w:rPr>
        <w:lastRenderedPageBreak/>
        <w:t>цифровую валюту</w:t>
      </w:r>
      <w:r w:rsidR="00383FD3" w:rsidRPr="00383FD3">
        <w:rPr>
          <w:rFonts w:ascii="Times New Roman" w:hAnsi="Times New Roman" w:cs="Times New Roman"/>
          <w:sz w:val="28"/>
          <w:szCs w:val="28"/>
        </w:rPr>
        <w:t xml:space="preserve">, и обеспечивать доступ для всех сторон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83FD3" w:rsidRPr="00383FD3"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Times New Roman" w:hAnsi="Times New Roman" w:cs="Times New Roman"/>
          <w:sz w:val="28"/>
          <w:szCs w:val="28"/>
        </w:rPr>
        <w:t>этапах</w:t>
      </w:r>
      <w:r w:rsidR="00383FD3" w:rsidRPr="00383FD3">
        <w:rPr>
          <w:rFonts w:ascii="Times New Roman" w:hAnsi="Times New Roman" w:cs="Times New Roman"/>
          <w:sz w:val="28"/>
          <w:szCs w:val="28"/>
        </w:rPr>
        <w:t xml:space="preserve"> продаж.</w:t>
      </w:r>
    </w:p>
    <w:p w14:paraId="559A0B85" w14:textId="7506AA6F" w:rsidR="00383FD3" w:rsidRPr="00383FD3" w:rsidRDefault="00A1471B" w:rsidP="00E11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3FD3" w:rsidRPr="00383FD3">
        <w:rPr>
          <w:rFonts w:ascii="Times New Roman" w:hAnsi="Times New Roman" w:cs="Times New Roman"/>
          <w:sz w:val="28"/>
          <w:szCs w:val="28"/>
        </w:rPr>
        <w:t>Непреднамеренные социальные последствия должны быть полностью изучены и смягчены, прежде чем компания примет п</w:t>
      </w:r>
      <w:r>
        <w:rPr>
          <w:rFonts w:ascii="Times New Roman" w:hAnsi="Times New Roman" w:cs="Times New Roman"/>
          <w:sz w:val="28"/>
          <w:szCs w:val="28"/>
        </w:rPr>
        <w:t>латежи в цифровой валюте</w:t>
      </w:r>
      <w:r w:rsidR="00383FD3" w:rsidRPr="00383FD3">
        <w:rPr>
          <w:rFonts w:ascii="Times New Roman" w:hAnsi="Times New Roman" w:cs="Times New Roman"/>
          <w:sz w:val="28"/>
          <w:szCs w:val="28"/>
        </w:rPr>
        <w:t xml:space="preserve">. Например, некоторые первые пилотные проекты цифровой заработной платы показали, что многим женщинам не нравится, насколько прозрачна их заработная плата для других членов их домохозяйства; в крайних случаях это может привести к увеличению числа случаев насилия в отношении женщин. Поэтому крайне важно, чтобы цифровизация заработной платы учитывала гендерные аспекты.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383FD3" w:rsidRPr="00383FD3">
        <w:rPr>
          <w:rFonts w:ascii="Times New Roman" w:hAnsi="Times New Roman" w:cs="Times New Roman"/>
          <w:sz w:val="28"/>
          <w:szCs w:val="28"/>
        </w:rPr>
        <w:t>ти риски можно свести к минимуму за счет гиперлокального подхода, поскольку динамика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383FD3" w:rsidRPr="00383FD3">
        <w:rPr>
          <w:rFonts w:ascii="Times New Roman" w:hAnsi="Times New Roman" w:cs="Times New Roman"/>
          <w:sz w:val="28"/>
          <w:szCs w:val="28"/>
        </w:rPr>
        <w:t xml:space="preserve"> гендерных норм и финансов домохозяйств сильно различается в регионах.</w:t>
      </w:r>
    </w:p>
    <w:p w14:paraId="59DDC3DD" w14:textId="477E1C08" w:rsidR="00383FD3" w:rsidRPr="00707D64" w:rsidRDefault="00454BAD" w:rsidP="00E11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Наконец, р</w:t>
      </w:r>
      <w:r w:rsidR="00383FD3" w:rsidRPr="00383FD3">
        <w:rPr>
          <w:rFonts w:ascii="Times New Roman" w:hAnsi="Times New Roman" w:cs="Times New Roman"/>
          <w:sz w:val="28"/>
          <w:szCs w:val="28"/>
        </w:rPr>
        <w:t xml:space="preserve">асширенный «бумажный след» </w:t>
      </w:r>
      <w:r>
        <w:rPr>
          <w:rFonts w:ascii="Times New Roman" w:hAnsi="Times New Roman" w:cs="Times New Roman"/>
          <w:sz w:val="28"/>
          <w:szCs w:val="28"/>
        </w:rPr>
        <w:t>цифровой валюты</w:t>
      </w:r>
      <w:r w:rsidR="00383FD3" w:rsidRPr="00383FD3">
        <w:rPr>
          <w:rFonts w:ascii="Times New Roman" w:hAnsi="Times New Roman" w:cs="Times New Roman"/>
          <w:sz w:val="28"/>
          <w:szCs w:val="28"/>
        </w:rPr>
        <w:t xml:space="preserve"> за счет использования цифровых реестров, в которых регистрируются транзакции, обеспечит новый уровень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383FD3" w:rsidRPr="00383FD3">
        <w:rPr>
          <w:rFonts w:ascii="Times New Roman" w:hAnsi="Times New Roman" w:cs="Times New Roman"/>
          <w:sz w:val="28"/>
          <w:szCs w:val="28"/>
        </w:rPr>
        <w:t xml:space="preserve">прозрачности </w:t>
      </w:r>
      <w:r>
        <w:rPr>
          <w:rFonts w:ascii="Times New Roman" w:hAnsi="Times New Roman" w:cs="Times New Roman"/>
          <w:sz w:val="28"/>
          <w:szCs w:val="28"/>
        </w:rPr>
        <w:t>на всех этапах ценообразования</w:t>
      </w:r>
      <w:r w:rsidR="00383FD3" w:rsidRPr="00383FD3">
        <w:rPr>
          <w:rFonts w:ascii="Times New Roman" w:hAnsi="Times New Roman" w:cs="Times New Roman"/>
          <w:sz w:val="28"/>
          <w:szCs w:val="28"/>
        </w:rPr>
        <w:t>. Это может быть использовано для решения некоторых текущих проблем в процессах борьбы с отмыванием денег для компаний, а также для снижения общего уровня мошенничества и краж. И наоборот, те же самые механизмы борьбы с отмыванием денег могут также использоваться для исключения преследуемых групп, политических активистов и критиков денежной системы.</w:t>
      </w:r>
    </w:p>
    <w:p w14:paraId="4FC0DC89" w14:textId="79566149" w:rsidR="00E11E48" w:rsidRDefault="00B71A37" w:rsidP="00E11E4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11E48" w:rsidRPr="00E11E48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E11E48" w:rsidRPr="00E11E48">
        <w:rPr>
          <w:rFonts w:ascii="Times New Roman" w:hAnsi="Times New Roman" w:cs="Times New Roman"/>
          <w:b/>
          <w:bCs/>
          <w:sz w:val="28"/>
          <w:szCs w:val="28"/>
        </w:rPr>
        <w:t xml:space="preserve"> и рекомендации</w:t>
      </w:r>
    </w:p>
    <w:p w14:paraId="3470F3ED" w14:textId="7B4E275B" w:rsidR="00E11E48" w:rsidRPr="00E11E48" w:rsidRDefault="00E11E48" w:rsidP="00E11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1E48">
        <w:rPr>
          <w:rFonts w:ascii="Times New Roman" w:hAnsi="Times New Roman" w:cs="Times New Roman"/>
          <w:sz w:val="28"/>
          <w:szCs w:val="28"/>
        </w:rPr>
        <w:t>Центральные банки и министерства финансов должны играть активную руководящую роль в установлении стандартов и обеспечении государственной инфраструктуры для платежей, которые нельзя оставлять на откуп только рыночным силам.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E48">
        <w:rPr>
          <w:rFonts w:ascii="Times New Roman" w:hAnsi="Times New Roman" w:cs="Times New Roman"/>
          <w:sz w:val="28"/>
          <w:szCs w:val="28"/>
        </w:rPr>
        <w:t xml:space="preserve">Новые технологии могут потребовать достаточно длительного периода поэтапного внедрения, чтобы их можно было полностью протестировать. Должны быть введены множественные альтернативы платежам, чтобы </w:t>
      </w:r>
      <w:r>
        <w:rPr>
          <w:rFonts w:ascii="Times New Roman" w:hAnsi="Times New Roman" w:cs="Times New Roman"/>
          <w:sz w:val="28"/>
          <w:szCs w:val="28"/>
        </w:rPr>
        <w:t>цифровая платежная</w:t>
      </w:r>
      <w:r w:rsidRPr="00E11E48">
        <w:rPr>
          <w:rFonts w:ascii="Times New Roman" w:hAnsi="Times New Roman" w:cs="Times New Roman"/>
          <w:sz w:val="28"/>
          <w:szCs w:val="28"/>
        </w:rPr>
        <w:t xml:space="preserve"> система приобрела определенную устойчивость и </w:t>
      </w:r>
      <w:r>
        <w:rPr>
          <w:rFonts w:ascii="Times New Roman" w:hAnsi="Times New Roman" w:cs="Times New Roman"/>
          <w:sz w:val="28"/>
          <w:szCs w:val="28"/>
        </w:rPr>
        <w:t>была достаточно конкурентной и безопасной</w:t>
      </w:r>
      <w:r w:rsidRPr="00E11E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С точки зрения политики, внедрение единой цифровой валюты </w:t>
      </w:r>
      <w:r w:rsidRPr="00E11E48">
        <w:rPr>
          <w:rFonts w:ascii="Times New Roman" w:hAnsi="Times New Roman" w:cs="Times New Roman"/>
          <w:sz w:val="28"/>
          <w:szCs w:val="28"/>
        </w:rPr>
        <w:t>должно учитывать возможную концентрацию риска, отказ от посредничества традиционных кредитных учреждений и чрезмерный государственный контроль над распределением кредитов, что было бы контрпродуктивно в сегодняшних разнообразных современных экономиках.</w:t>
      </w:r>
    </w:p>
    <w:p w14:paraId="03818113" w14:textId="1BFEB858" w:rsidR="00E11E48" w:rsidRPr="00E11E48" w:rsidRDefault="00E11E48" w:rsidP="00E11E48">
      <w:pPr>
        <w:jc w:val="both"/>
        <w:rPr>
          <w:rFonts w:ascii="Times New Roman" w:hAnsi="Times New Roman" w:cs="Times New Roman"/>
          <w:sz w:val="28"/>
          <w:szCs w:val="28"/>
        </w:rPr>
      </w:pPr>
      <w:r w:rsidRPr="00E11E48">
        <w:rPr>
          <w:rFonts w:ascii="Times New Roman" w:hAnsi="Times New Roman" w:cs="Times New Roman"/>
          <w:sz w:val="28"/>
          <w:szCs w:val="28"/>
        </w:rPr>
        <w:t xml:space="preserve">По мере того как </w:t>
      </w:r>
      <w:r>
        <w:rPr>
          <w:rFonts w:ascii="Times New Roman" w:hAnsi="Times New Roman" w:cs="Times New Roman"/>
          <w:sz w:val="28"/>
          <w:szCs w:val="28"/>
        </w:rPr>
        <w:t xml:space="preserve">глобальные </w:t>
      </w:r>
      <w:r w:rsidRPr="00E11E48">
        <w:rPr>
          <w:rFonts w:ascii="Times New Roman" w:hAnsi="Times New Roman" w:cs="Times New Roman"/>
          <w:sz w:val="28"/>
          <w:szCs w:val="28"/>
        </w:rPr>
        <w:t>платежн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11E48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 уже</w:t>
      </w:r>
      <w:r w:rsidRPr="00E11E48">
        <w:rPr>
          <w:rFonts w:ascii="Times New Roman" w:hAnsi="Times New Roman" w:cs="Times New Roman"/>
          <w:sz w:val="28"/>
          <w:szCs w:val="28"/>
        </w:rPr>
        <w:t xml:space="preserve"> станов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1E48">
        <w:rPr>
          <w:rFonts w:ascii="Times New Roman" w:hAnsi="Times New Roman" w:cs="Times New Roman"/>
          <w:sz w:val="28"/>
          <w:szCs w:val="28"/>
        </w:rPr>
        <w:t>тся все более цифров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E11E48">
        <w:rPr>
          <w:rFonts w:ascii="Times New Roman" w:hAnsi="Times New Roman" w:cs="Times New Roman"/>
          <w:sz w:val="28"/>
          <w:szCs w:val="28"/>
        </w:rPr>
        <w:t xml:space="preserve">, важно будет найти баланс между защитой личных данных и конфиденциальности и необходимостью правительства обеспечивать соблюдение законов, правил и налогов. Вопросы платежей необходимо </w:t>
      </w:r>
      <w:r w:rsidRPr="00E11E48">
        <w:rPr>
          <w:rFonts w:ascii="Times New Roman" w:hAnsi="Times New Roman" w:cs="Times New Roman"/>
          <w:sz w:val="28"/>
          <w:szCs w:val="28"/>
        </w:rPr>
        <w:lastRenderedPageBreak/>
        <w:t>рассматривать комплексно, наряду с другими проблемами конфиденциальности, возникающими в связи со сбором данных банками, крупными технологическими компаниями и правительствами.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E48">
        <w:rPr>
          <w:rFonts w:ascii="Times New Roman" w:hAnsi="Times New Roman" w:cs="Times New Roman"/>
          <w:sz w:val="28"/>
          <w:szCs w:val="28"/>
        </w:rPr>
        <w:t>Важно отметить, что более широкое трансграничное использование цифровых валют требует международной основы для управления использованием и обменом данными.</w:t>
      </w:r>
    </w:p>
    <w:p w14:paraId="1A416C14" w14:textId="77777777" w:rsidR="00E11E48" w:rsidRDefault="00E11E48" w:rsidP="00E11E48">
      <w:pPr>
        <w:jc w:val="both"/>
      </w:pPr>
    </w:p>
    <w:p w14:paraId="71B052F5" w14:textId="77777777" w:rsidR="00505C5C" w:rsidRPr="00A4716D" w:rsidRDefault="00505C5C" w:rsidP="00E11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05C5C" w:rsidRPr="00A4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5660" w14:textId="77777777" w:rsidR="0041380B" w:rsidRDefault="0041380B" w:rsidP="002D0723">
      <w:pPr>
        <w:spacing w:after="0" w:line="240" w:lineRule="auto"/>
      </w:pPr>
      <w:r>
        <w:separator/>
      </w:r>
    </w:p>
  </w:endnote>
  <w:endnote w:type="continuationSeparator" w:id="0">
    <w:p w14:paraId="08DA7B68" w14:textId="77777777" w:rsidR="0041380B" w:rsidRDefault="0041380B" w:rsidP="002D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D7A7" w14:textId="77777777" w:rsidR="0041380B" w:rsidRDefault="0041380B" w:rsidP="002D0723">
      <w:pPr>
        <w:spacing w:after="0" w:line="240" w:lineRule="auto"/>
      </w:pPr>
      <w:r>
        <w:separator/>
      </w:r>
    </w:p>
  </w:footnote>
  <w:footnote w:type="continuationSeparator" w:id="0">
    <w:p w14:paraId="12A3D0E9" w14:textId="77777777" w:rsidR="0041380B" w:rsidRDefault="0041380B" w:rsidP="002D0723">
      <w:pPr>
        <w:spacing w:after="0" w:line="240" w:lineRule="auto"/>
      </w:pPr>
      <w:r>
        <w:continuationSeparator/>
      </w:r>
    </w:p>
  </w:footnote>
  <w:footnote w:id="1">
    <w:p w14:paraId="4C1AF01F" w14:textId="72BD5DE1" w:rsidR="002D0723" w:rsidRDefault="002D0723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Pr="00D25E1D">
          <w:rPr>
            <w:rStyle w:val="a6"/>
          </w:rPr>
          <w:t>https://www.atlanticcouncil.org/cbdctracker/</w:t>
        </w:r>
      </w:hyperlink>
    </w:p>
    <w:p w14:paraId="0C5E740B" w14:textId="77777777" w:rsidR="002D0723" w:rsidRDefault="002D0723">
      <w:pPr>
        <w:pStyle w:val="a3"/>
      </w:pPr>
    </w:p>
  </w:footnote>
  <w:footnote w:id="2">
    <w:p w14:paraId="599C87F3" w14:textId="5274DF5D" w:rsidR="00CD3AA7" w:rsidRDefault="00CD3AA7">
      <w:pPr>
        <w:pStyle w:val="a3"/>
      </w:pPr>
      <w:r>
        <w:rPr>
          <w:rStyle w:val="a5"/>
        </w:rPr>
        <w:footnoteRef/>
      </w:r>
      <w:r>
        <w:t xml:space="preserve"> </w:t>
      </w:r>
      <w:hyperlink r:id="rId2" w:history="1">
        <w:r w:rsidRPr="00D25E1D">
          <w:rPr>
            <w:rStyle w:val="a6"/>
          </w:rPr>
          <w:t>https://www.imf.org/en/Publications/Staff-Discussion-Notes/Issues/2018/11/13/Casting-Light-on-Central-Bank-Digital-Currencies-46233</w:t>
        </w:r>
      </w:hyperlink>
    </w:p>
    <w:p w14:paraId="1AD1068C" w14:textId="77777777" w:rsidR="00CD3AA7" w:rsidRDefault="00CD3AA7">
      <w:pPr>
        <w:pStyle w:val="a3"/>
      </w:pPr>
    </w:p>
  </w:footnote>
  <w:footnote w:id="3">
    <w:p w14:paraId="1BC55ACA" w14:textId="06797CDB" w:rsidR="00A1471B" w:rsidRDefault="00A1471B">
      <w:pPr>
        <w:pStyle w:val="a3"/>
      </w:pPr>
      <w:r>
        <w:rPr>
          <w:rStyle w:val="a5"/>
        </w:rPr>
        <w:footnoteRef/>
      </w:r>
      <w:r>
        <w:t xml:space="preserve"> </w:t>
      </w:r>
      <w:hyperlink r:id="rId3" w:history="1">
        <w:r w:rsidRPr="00D25E1D">
          <w:rPr>
            <w:rStyle w:val="a6"/>
          </w:rPr>
          <w:t>https://herproject.org/insights/view/gender-responsive-wage-digitization-in-the-garment-sector-a-practical-guide</w:t>
        </w:r>
      </w:hyperlink>
    </w:p>
    <w:p w14:paraId="5D39548A" w14:textId="77777777" w:rsidR="00A1471B" w:rsidRDefault="00A1471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8A"/>
    <w:rsid w:val="00240E72"/>
    <w:rsid w:val="002D0723"/>
    <w:rsid w:val="0036438A"/>
    <w:rsid w:val="00383FD3"/>
    <w:rsid w:val="0041380B"/>
    <w:rsid w:val="00454BAD"/>
    <w:rsid w:val="004D32A2"/>
    <w:rsid w:val="00505811"/>
    <w:rsid w:val="00505C5C"/>
    <w:rsid w:val="005B0364"/>
    <w:rsid w:val="00707D64"/>
    <w:rsid w:val="007C19CD"/>
    <w:rsid w:val="007F202F"/>
    <w:rsid w:val="008F0579"/>
    <w:rsid w:val="009055E4"/>
    <w:rsid w:val="00A1471B"/>
    <w:rsid w:val="00A4716D"/>
    <w:rsid w:val="00B71A37"/>
    <w:rsid w:val="00CD3AA7"/>
    <w:rsid w:val="00E11E48"/>
    <w:rsid w:val="00E6617A"/>
    <w:rsid w:val="00EA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D19D"/>
  <w15:chartTrackingRefBased/>
  <w15:docId w15:val="{4EE191E5-EBA1-43E7-8364-49699F47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07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072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D0723"/>
    <w:rPr>
      <w:vertAlign w:val="superscript"/>
    </w:rPr>
  </w:style>
  <w:style w:type="character" w:styleId="a6">
    <w:name w:val="Hyperlink"/>
    <w:basedOn w:val="a0"/>
    <w:uiPriority w:val="99"/>
    <w:unhideWhenUsed/>
    <w:rsid w:val="002D07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D0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erproject.org/insights/view/gender-responsive-wage-digitization-in-the-garment-sector-a-practical-guide" TargetMode="External"/><Relationship Id="rId2" Type="http://schemas.openxmlformats.org/officeDocument/2006/relationships/hyperlink" Target="https://www.imf.org/en/Publications/Staff-Discussion-Notes/Issues/2018/11/13/Casting-Light-on-Central-Bank-Digital-Currencies-46233" TargetMode="External"/><Relationship Id="rId1" Type="http://schemas.openxmlformats.org/officeDocument/2006/relationships/hyperlink" Target="https://www.atlanticcouncil.org/cbdctrack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A347-FFCE-4E19-8014-B3FA825B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2022-06-18T11:50:00Z</dcterms:created>
  <dcterms:modified xsi:type="dcterms:W3CDTF">2022-06-18T14:18:00Z</dcterms:modified>
</cp:coreProperties>
</file>