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1B" w:rsidRPr="003A651B" w:rsidRDefault="003A651B" w:rsidP="003A651B">
      <w:pPr>
        <w:jc w:val="center"/>
        <w:rPr>
          <w:rFonts w:ascii="Times New Roman" w:hAnsi="Times New Roman" w:cs="Times New Roman"/>
          <w:b/>
          <w:sz w:val="28"/>
        </w:rPr>
      </w:pPr>
      <w:r>
        <w:rPr>
          <w:rFonts w:ascii="Times New Roman" w:hAnsi="Times New Roman" w:cs="Times New Roman"/>
          <w:b/>
          <w:sz w:val="28"/>
        </w:rPr>
        <w:t xml:space="preserve">Уроки </w:t>
      </w:r>
      <w:proofErr w:type="spellStart"/>
      <w:r>
        <w:rPr>
          <w:rFonts w:ascii="Times New Roman" w:hAnsi="Times New Roman" w:cs="Times New Roman"/>
          <w:b/>
          <w:sz w:val="28"/>
        </w:rPr>
        <w:t>е</w:t>
      </w:r>
      <w:r w:rsidRPr="003A651B">
        <w:rPr>
          <w:rFonts w:ascii="Times New Roman" w:hAnsi="Times New Roman" w:cs="Times New Roman"/>
          <w:b/>
          <w:sz w:val="28"/>
        </w:rPr>
        <w:t>вроинтеграции</w:t>
      </w:r>
      <w:proofErr w:type="spellEnd"/>
      <w:r w:rsidRPr="003A651B">
        <w:rPr>
          <w:rFonts w:ascii="Times New Roman" w:hAnsi="Times New Roman" w:cs="Times New Roman"/>
          <w:b/>
          <w:sz w:val="28"/>
        </w:rPr>
        <w:t xml:space="preserve"> для будущих региональных объединений</w:t>
      </w:r>
    </w:p>
    <w:p w:rsidR="003A651B" w:rsidRPr="003A651B" w:rsidRDefault="003A651B" w:rsidP="003A651B">
      <w:pPr>
        <w:jc w:val="right"/>
        <w:rPr>
          <w:rFonts w:ascii="Times New Roman" w:hAnsi="Times New Roman" w:cs="Times New Roman"/>
          <w:b/>
          <w:sz w:val="28"/>
        </w:rPr>
      </w:pPr>
      <w:proofErr w:type="spellStart"/>
      <w:r w:rsidRPr="003A651B">
        <w:rPr>
          <w:rFonts w:ascii="Times New Roman" w:hAnsi="Times New Roman" w:cs="Times New Roman"/>
          <w:b/>
          <w:sz w:val="28"/>
        </w:rPr>
        <w:t>Серкебаева</w:t>
      </w:r>
      <w:proofErr w:type="spellEnd"/>
      <w:r w:rsidRPr="003A651B">
        <w:rPr>
          <w:rFonts w:ascii="Times New Roman" w:hAnsi="Times New Roman" w:cs="Times New Roman"/>
          <w:b/>
          <w:sz w:val="28"/>
        </w:rPr>
        <w:t xml:space="preserve"> Калия</w:t>
      </w:r>
    </w:p>
    <w:p w:rsidR="003A651B" w:rsidRPr="003A651B" w:rsidRDefault="003A651B" w:rsidP="003A651B">
      <w:pPr>
        <w:jc w:val="both"/>
        <w:rPr>
          <w:rFonts w:ascii="Times New Roman" w:hAnsi="Times New Roman" w:cs="Times New Roman"/>
          <w:sz w:val="28"/>
        </w:rPr>
      </w:pP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Сегодня глобализация связана с интеграционными процессами и возникновением новых мировых центров силы регионального характера. Политико-экономические проекты интеграционного типа, такие как Европейский союз (ЕС) определяют международно-политическую реальность. Л.С. Воронков считает, что члены ЕС достигли наивысшей степени развития интеграции, что опыт ЕС является мерилом эффективности интеграции и образцом для подражания, что интеграционные теории должны опираться в основном на обобщение опыта, успехов и неудач интеграции в рамках ЕС.</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Анализ интеграции проведен на примере союзов — Европейского союза (ЕС) и других региональных объединений. Интеграционные союзы развиваются вглубь и выстраивают партнерства с внешним миром, ищут образ жизни (модус вивенди), учитывающий наступательные и оборонительные коммерческие интересы, различия моделей развития и амбиции своих государств.</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Европейская модель интеграции основана на классических теориях. Поэтому она не уникальна и может быть основой для применения. Россия имеет схожие потребности участия в глобальной экономике, взаимодействия со странами-соседями, организации собственного пространства интеграции. Поэтому анализ уроков европейской интеграции и практики применения теоретических схем представляется обоснованным.</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 xml:space="preserve">Изучение идейных основ европейской интеграции подсказывает, что в схему организации единого рынка необходимо закладывать механизм сознательной корректирующей деятельности наднациональных институтов для достижения результата, в противном случае прогнозируемые эффекты будут недостижимы в обозримом будущем. </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 xml:space="preserve">Единство рынка — это главное достижение европейской интеграции. В институтах ЕС родились многие вошедшие в мировую практику идеи и методы уничтожения нетарифных барьеров. Эти идеи, после окончания тяжелого периода апробации и адаптации к реальности, кажутся </w:t>
      </w:r>
      <w:proofErr w:type="spellStart"/>
      <w:r w:rsidRPr="003A651B">
        <w:rPr>
          <w:rFonts w:ascii="Times New Roman" w:hAnsi="Times New Roman" w:cs="Times New Roman"/>
          <w:sz w:val="28"/>
        </w:rPr>
        <w:t>аксиономичными</w:t>
      </w:r>
      <w:proofErr w:type="spellEnd"/>
      <w:r w:rsidRPr="003A651B">
        <w:rPr>
          <w:rFonts w:ascii="Times New Roman" w:hAnsi="Times New Roman" w:cs="Times New Roman"/>
          <w:sz w:val="28"/>
        </w:rPr>
        <w:t>, очевидными, а проблемы интеграции — не провалами, а неизбежными издержками более быстрых темпов и новых возможностей развития.</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 xml:space="preserve">Без сомнения, интеграционными процессами движет экономическая необходимость. Эксперты считали, что европейской интеграционной модели состояла в том, чтобы начать их с объединения рынков и хозяйств. Практика </w:t>
      </w:r>
      <w:r w:rsidRPr="003A651B">
        <w:rPr>
          <w:rFonts w:ascii="Times New Roman" w:hAnsi="Times New Roman" w:cs="Times New Roman"/>
          <w:sz w:val="28"/>
        </w:rPr>
        <w:lastRenderedPageBreak/>
        <w:t>же показала, что и социум способен интегрироваться, более того, нуждается в интеграции. Во многом во имя сохранения традиций, культурного и природного многообразия страны выработали практику взаимного признания своих норм и правил, множили число сфер общей политики и наполняли содержанием понятия свободы и единства.</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 xml:space="preserve">Главными принципами являются: запрет дискриминации, свобода передвижения, гармонизация, взаимное признание, </w:t>
      </w:r>
      <w:proofErr w:type="spellStart"/>
      <w:r w:rsidRPr="003A651B">
        <w:rPr>
          <w:rFonts w:ascii="Times New Roman" w:hAnsi="Times New Roman" w:cs="Times New Roman"/>
          <w:sz w:val="28"/>
        </w:rPr>
        <w:t>субсидиарность</w:t>
      </w:r>
      <w:proofErr w:type="spellEnd"/>
      <w:r w:rsidRPr="003A651B">
        <w:rPr>
          <w:rFonts w:ascii="Times New Roman" w:hAnsi="Times New Roman" w:cs="Times New Roman"/>
          <w:sz w:val="28"/>
        </w:rPr>
        <w:t xml:space="preserve">, пропорциональность, совершенная и эффективная конкуренция. Методы регулирования — это контроль, право, общие отраслевые рынки, общая отраслевая политика, реформирование и актуализация. В числе доказуемых положительных эффектов свободы передвижений — новые торговые потоки, повышение качества предложения, снижение издержек за счет экономии на масштабах, появление новых рентабельных видов деятельности; в числе эффектов конкуренции — повышение разнообразия предложения, поддержание ценового механизма, снижение издержек за счет концентрации и кооперации. Ожидаемые эффекты свободы передвижений — новые цепочки стоимости, рост включенности в экономику, расширение поля возможностей для занятости, рост активов, доступ к ресурсам и лучшим практикам, снижение отставания от глобальных трансформаций; ожидаемые эффекты конкуренции — оздоровление экономики, переход на новый технологический уклад. Развитие свобод передвижения и конкуренции порождает как элементы, способствующие устойчивости, так и элементы потери устойчивости интеграционного объединения. Последние заключены в утрате суверенитета, ценностных ориентиров и инструментов защиты, возникновении деструктивных каналов влияния участников друг на друга, потере части экономических </w:t>
      </w:r>
      <w:proofErr w:type="spellStart"/>
      <w:r w:rsidRPr="003A651B">
        <w:rPr>
          <w:rFonts w:ascii="Times New Roman" w:hAnsi="Times New Roman" w:cs="Times New Roman"/>
          <w:sz w:val="28"/>
        </w:rPr>
        <w:t>акторов</w:t>
      </w:r>
      <w:proofErr w:type="spellEnd"/>
      <w:r w:rsidRPr="003A651B">
        <w:rPr>
          <w:rFonts w:ascii="Times New Roman" w:hAnsi="Times New Roman" w:cs="Times New Roman"/>
          <w:sz w:val="28"/>
        </w:rPr>
        <w:t xml:space="preserve"> в результате конкуренции, утечке мозгов и технологий от одних участников рынка к другим, росте неопределенности перспектив.</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 xml:space="preserve">Идея </w:t>
      </w:r>
      <w:proofErr w:type="spellStart"/>
      <w:r w:rsidRPr="003A651B">
        <w:rPr>
          <w:rFonts w:ascii="Times New Roman" w:hAnsi="Times New Roman" w:cs="Times New Roman"/>
          <w:sz w:val="28"/>
        </w:rPr>
        <w:t>реинтеграции</w:t>
      </w:r>
      <w:proofErr w:type="spellEnd"/>
      <w:r w:rsidRPr="003A651B">
        <w:rPr>
          <w:rFonts w:ascii="Times New Roman" w:hAnsi="Times New Roman" w:cs="Times New Roman"/>
          <w:sz w:val="28"/>
        </w:rPr>
        <w:t xml:space="preserve"> постсоветского пространства уже не миф, а реальность. Вместе с тем потенциал </w:t>
      </w:r>
      <w:proofErr w:type="gramStart"/>
      <w:r w:rsidRPr="003A651B">
        <w:rPr>
          <w:rFonts w:ascii="Times New Roman" w:hAnsi="Times New Roman" w:cs="Times New Roman"/>
          <w:sz w:val="28"/>
        </w:rPr>
        <w:t>ЕАЭС  плохо</w:t>
      </w:r>
      <w:proofErr w:type="gramEnd"/>
      <w:r w:rsidRPr="003A651B">
        <w:rPr>
          <w:rFonts w:ascii="Times New Roman" w:hAnsi="Times New Roman" w:cs="Times New Roman"/>
          <w:sz w:val="28"/>
        </w:rPr>
        <w:t xml:space="preserve"> оценен. Отсюда — насущной задачей представляется включение общественности, деловых и научных кругов в процесс проектирования решений. Дальнейший «перелив» интеграции из одной области в другую так же, как и в самом ЕС, должен опираться на совместную активность институтов сотрудничества, деловых и общественных групп интересов. Цель этого включения — достижение желаемого уровня свободы в том или ином сегменте этого пространства, защита конкурентных преимуществ отечественной экономики и нерыночных ценностей. Исследование ЕАЭС позволяет сформулировать следующие выводы.</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lastRenderedPageBreak/>
        <w:t xml:space="preserve">Уроки интеграции ЕС полезны для формирования интеграционной стратегии ЕАЭС и других региональных объединений. Наличие наднациональных институтов, приверженность одним и тем же принципам и методам интеграции, высокая доля регулирования в экономике, говорят о сходстве ЕАЭС с ЕС и способности ЕАЭС к адаптации опыта ЕС. Евразийская интеграция строится по канонам жанра, заложенным ЕС. В подходах ЕАЭС выражена либеральная основа, а инструменты защиты нацелены на безопасное использование факторов и результатов экономической деятельности. Единый внешний тариф, четыре свободы внутреннего рынка и принципы его организации — запрет дискриминации, гармонизация, взаимное признание норм, а также марка соответствия, общие отраслевые политики и </w:t>
      </w:r>
      <w:proofErr w:type="spellStart"/>
      <w:r w:rsidRPr="003A651B">
        <w:rPr>
          <w:rFonts w:ascii="Times New Roman" w:hAnsi="Times New Roman" w:cs="Times New Roman"/>
          <w:sz w:val="28"/>
        </w:rPr>
        <w:t>неофункционалистская</w:t>
      </w:r>
      <w:proofErr w:type="spellEnd"/>
      <w:r w:rsidRPr="003A651B">
        <w:rPr>
          <w:rFonts w:ascii="Times New Roman" w:hAnsi="Times New Roman" w:cs="Times New Roman"/>
          <w:sz w:val="28"/>
        </w:rPr>
        <w:t xml:space="preserve"> логика управления — эти элементы регулирования присутствуют в обеих моделях. Вместе с тем надгосударственное регулирование внутреннего рынка ЕАЭС в среднесрочной перспективе останется неглубоким, но приемлемым для государств-членов.</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Нам следует рассматривать взаимодействие с ЕС позитивно, поскольку результатом стало освоение метода регулирования традиционно подконтрольного ей рынка, качественный рост и укрепление глобальных позиций страны. Подобно ЕС, трактующему единство внутренних рынков как лучший свой актив, страны ЕАЭС обрели аналогичный ресурс развития. Следует учитывать косвенное содействие Европейского союза евразийской интеграции посредством выдвигаемой им критики. Часть замечаний носит временный и политизированный характер. Евразийский экономический союз не является кривым зеркалом европейской интеграции. В ЕАЭС заложены самостоятельная идея, инструменты и движущие силы.</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 xml:space="preserve">Сегодня в ЕАЭС не идеализируют европейскую интеграционную модель; лейтмотив рассуждений — избегать европейских проблем. Соответственно, ЕАЭС получает больше возможностей для ее выборочного использования. Критики ЕАЭС говорят о «фасадной» установке, отражающей базовые стандарты «поставщика» модели и отсутствие глубинных механизмов, что ведет к снижению эффектов интеграции. Однако, правильнее сказать, что европейская модель применима в тех сферах, в которых потеря суверенитета не критична для государств-членов. Россия, крупнейшая страна в ЕАЭС, проявляет способность адаптировать опыт европейской интеграционной модели, сохраняя множество мер защиты национального рынка. Евразийские институты — архитекторы евразийской модели —достаточно квалифицированы и способны на соединение лучшего из того, что предлагает представительная демократия и традиция государственного регулирования. Деятельность евразийских институтов и подкрепляющего их научного сообщества нацелена на достижение оптимальной степени сходства с европейской моделью, что благоприятствует началу диалога ЕС с ЕАЭС. </w:t>
      </w:r>
      <w:r w:rsidRPr="003A651B">
        <w:rPr>
          <w:rFonts w:ascii="Times New Roman" w:hAnsi="Times New Roman" w:cs="Times New Roman"/>
          <w:sz w:val="28"/>
        </w:rPr>
        <w:lastRenderedPageBreak/>
        <w:t>Законодательство последнего во много следует лучшим европейским практикам, пусть и ровно настолько, насколько государства-члены ЕАЭС это допускают.</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Переговоры о партнерстве центров экономической силы, служащие де- факто способом продвижения на чужие рынки, обернулись риском утраты конкурентных преимуществ каждой из моделей. Все это дает возможность говорить о том, что мир вернулся от эпохи конкуренции стран в эпоху конкуренции экономических моделей.</w:t>
      </w:r>
    </w:p>
    <w:p w:rsidR="003A651B"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 xml:space="preserve">В исследованиях по тематике интеграции рынков и </w:t>
      </w:r>
      <w:proofErr w:type="spellStart"/>
      <w:r w:rsidRPr="003A651B">
        <w:rPr>
          <w:rFonts w:ascii="Times New Roman" w:hAnsi="Times New Roman" w:cs="Times New Roman"/>
          <w:sz w:val="28"/>
        </w:rPr>
        <w:t>межинтеграционных</w:t>
      </w:r>
      <w:proofErr w:type="spellEnd"/>
      <w:r w:rsidRPr="003A651B">
        <w:rPr>
          <w:rFonts w:ascii="Times New Roman" w:hAnsi="Times New Roman" w:cs="Times New Roman"/>
          <w:sz w:val="28"/>
        </w:rPr>
        <w:t xml:space="preserve"> отношений также просматривается смена основного подхода. Как видится автору, из русла парадигмы нормативного лидерства Европейского союза исследования перетекают в русло теории устойчивости. В ряде работ цель — повышение внутренней устойчивости моделей конкурентоспособности — идет рука об руку с целью встраивания региональных моделей в более широкую международную систему.</w:t>
      </w:r>
    </w:p>
    <w:p w:rsidR="00744058" w:rsidRPr="003A651B" w:rsidRDefault="003A651B" w:rsidP="003A651B">
      <w:pPr>
        <w:ind w:firstLine="708"/>
        <w:jc w:val="both"/>
        <w:rPr>
          <w:rFonts w:ascii="Times New Roman" w:hAnsi="Times New Roman" w:cs="Times New Roman"/>
          <w:sz w:val="28"/>
        </w:rPr>
      </w:pPr>
      <w:r w:rsidRPr="003A651B">
        <w:rPr>
          <w:rFonts w:ascii="Times New Roman" w:hAnsi="Times New Roman" w:cs="Times New Roman"/>
          <w:sz w:val="28"/>
        </w:rPr>
        <w:t>На фоне весьма продолжительной фазы неблагоприятной глобальной экономической конъюнктуры особое значение приобретают труды, предметом которых является анализ фундаментальной основы свободной торговли. Они адресованы нынешним политикам, часть из которых пытается перешагнуть через интересы потребителей. Эксперты мирового уровня выступают за снижение международной напряженности и подталкивают страны и регионы к началу нового цикла взаимного сближения.</w:t>
      </w:r>
      <w:bookmarkStart w:id="0" w:name="_GoBack"/>
      <w:bookmarkEnd w:id="0"/>
    </w:p>
    <w:sectPr w:rsidR="00744058" w:rsidRPr="003A6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1B"/>
    <w:rsid w:val="003A651B"/>
    <w:rsid w:val="00744058"/>
    <w:rsid w:val="00B96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C230C-9426-4C5D-A74F-499BD47F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1319</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2022-07-02T09:09:00Z</dcterms:created>
  <dcterms:modified xsi:type="dcterms:W3CDTF">2022-07-02T09:12:00Z</dcterms:modified>
</cp:coreProperties>
</file>